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FBC1E3" w14:textId="59AF17F5" w:rsidR="00676F85" w:rsidRDefault="00676F85">
      <w:pPr>
        <w:spacing w:after="0"/>
        <w:ind w:left="5"/>
      </w:pPr>
    </w:p>
    <w:p w14:paraId="6F4A0D6F" w14:textId="6000B901" w:rsidR="00676F85" w:rsidRPr="00192776" w:rsidRDefault="00FB55F2">
      <w:pPr>
        <w:spacing w:after="723" w:line="274" w:lineRule="auto"/>
        <w:ind w:hanging="10"/>
        <w:jc w:val="both"/>
        <w:rPr>
          <w:rFonts w:ascii="Titillium Web" w:hAnsi="Titillium Web"/>
          <w:sz w:val="24"/>
          <w:szCs w:val="24"/>
        </w:rPr>
      </w:pPr>
      <w:r w:rsidRPr="00192776">
        <w:rPr>
          <w:rFonts w:ascii="Titillium Web" w:eastAsia="Verdana" w:hAnsi="Titillium Web" w:cs="Verdana"/>
          <w:b/>
          <w:sz w:val="24"/>
          <w:szCs w:val="24"/>
        </w:rPr>
        <w:t xml:space="preserve">ALLEGATO </w:t>
      </w:r>
      <w:r w:rsidR="000842E4">
        <w:rPr>
          <w:rFonts w:ascii="Titillium Web" w:eastAsia="Verdana" w:hAnsi="Titillium Web" w:cs="Verdana"/>
          <w:b/>
          <w:sz w:val="24"/>
          <w:szCs w:val="24"/>
        </w:rPr>
        <w:t>2</w:t>
      </w:r>
    </w:p>
    <w:p w14:paraId="19358CA9" w14:textId="6F310695" w:rsidR="00676F85" w:rsidRDefault="00FB55F2" w:rsidP="00362B06">
      <w:pPr>
        <w:spacing w:after="0" w:line="274" w:lineRule="auto"/>
        <w:ind w:hanging="10"/>
        <w:jc w:val="both"/>
        <w:rPr>
          <w:rFonts w:ascii="Titillium Web" w:eastAsia="Verdana" w:hAnsi="Titillium Web" w:cs="Verdana"/>
          <w:b/>
          <w:sz w:val="24"/>
          <w:szCs w:val="24"/>
        </w:rPr>
      </w:pPr>
      <w:r w:rsidRPr="00192776">
        <w:rPr>
          <w:rFonts w:ascii="Titillium Web" w:eastAsia="Verdana" w:hAnsi="Titillium Web" w:cs="Verdana"/>
          <w:b/>
          <w:sz w:val="24"/>
          <w:szCs w:val="24"/>
        </w:rPr>
        <w:t>SCHEMA DI CONTRATTO DI LAVORO AUTONOMO PER LO SVOLGIMENTO DELLE FUNZIONI DI ACCERTAMENTO MEDICO</w:t>
      </w:r>
      <w:r w:rsidR="00EC2DBF">
        <w:rPr>
          <w:rFonts w:ascii="Titillium Web" w:eastAsia="Verdana" w:hAnsi="Titillium Web" w:cs="Verdana"/>
          <w:b/>
          <w:sz w:val="24"/>
          <w:szCs w:val="24"/>
        </w:rPr>
        <w:t xml:space="preserve"> </w:t>
      </w:r>
      <w:r w:rsidRPr="00192776">
        <w:rPr>
          <w:rFonts w:ascii="Titillium Web" w:eastAsia="Verdana" w:hAnsi="Titillium Web" w:cs="Verdana"/>
          <w:b/>
          <w:sz w:val="24"/>
          <w:szCs w:val="24"/>
        </w:rPr>
        <w:t>LEGALE SUI LAVORATORI PUBBLICI E PRIVATI ASSENTI PER MALATTIA</w:t>
      </w:r>
      <w:r w:rsidR="006F6077">
        <w:rPr>
          <w:rFonts w:ascii="Titillium Web" w:eastAsia="Verdana" w:hAnsi="Titillium Web" w:cs="Verdana"/>
          <w:b/>
          <w:sz w:val="24"/>
          <w:szCs w:val="24"/>
        </w:rPr>
        <w:t xml:space="preserve"> AFFIDATE ALL’INPS.</w:t>
      </w:r>
    </w:p>
    <w:p w14:paraId="129D4556" w14:textId="77777777" w:rsidR="005E0F7A" w:rsidRPr="00192776" w:rsidRDefault="005E0F7A" w:rsidP="00362B06">
      <w:pPr>
        <w:spacing w:after="0" w:line="274" w:lineRule="auto"/>
        <w:ind w:hanging="10"/>
        <w:jc w:val="both"/>
        <w:rPr>
          <w:rFonts w:ascii="Titillium Web" w:hAnsi="Titillium Web"/>
          <w:sz w:val="24"/>
          <w:szCs w:val="24"/>
        </w:rPr>
      </w:pPr>
    </w:p>
    <w:p w14:paraId="3661E532" w14:textId="6D8FB7E0" w:rsidR="00676F85" w:rsidRPr="00192776" w:rsidRDefault="00FB55F2">
      <w:pPr>
        <w:spacing w:after="126" w:line="268" w:lineRule="auto"/>
        <w:ind w:hanging="10"/>
        <w:jc w:val="both"/>
        <w:rPr>
          <w:rFonts w:ascii="Titillium Web" w:hAnsi="Titillium Web"/>
          <w:sz w:val="24"/>
          <w:szCs w:val="24"/>
        </w:rPr>
      </w:pPr>
      <w:r w:rsidRPr="00192776">
        <w:rPr>
          <w:rFonts w:ascii="Titillium Web" w:eastAsia="Verdana" w:hAnsi="Titillium Web" w:cs="Verdana"/>
          <w:sz w:val="24"/>
          <w:szCs w:val="24"/>
        </w:rPr>
        <w:t xml:space="preserve">L’anno ____ il giorno __ del mese di _____________, in __________________, </w:t>
      </w:r>
    </w:p>
    <w:p w14:paraId="64A272AC" w14:textId="77777777" w:rsidR="00676F85" w:rsidRPr="00192776" w:rsidRDefault="00FB55F2">
      <w:pPr>
        <w:spacing w:after="137"/>
        <w:ind w:left="371" w:right="360" w:hanging="10"/>
        <w:jc w:val="center"/>
        <w:rPr>
          <w:rFonts w:ascii="Titillium Web" w:hAnsi="Titillium Web"/>
          <w:sz w:val="24"/>
          <w:szCs w:val="24"/>
        </w:rPr>
      </w:pPr>
      <w:r w:rsidRPr="00192776">
        <w:rPr>
          <w:rFonts w:ascii="Titillium Web" w:eastAsia="Verdana" w:hAnsi="Titillium Web" w:cs="Verdana"/>
          <w:b/>
          <w:sz w:val="24"/>
          <w:szCs w:val="24"/>
        </w:rPr>
        <w:t xml:space="preserve">TRA </w:t>
      </w:r>
    </w:p>
    <w:p w14:paraId="375F983E" w14:textId="060F776C" w:rsidR="00676F85" w:rsidRPr="009E7F49" w:rsidRDefault="00FB55F2" w:rsidP="00362B06">
      <w:pPr>
        <w:spacing w:after="8" w:line="268" w:lineRule="auto"/>
        <w:ind w:hanging="10"/>
        <w:jc w:val="both"/>
        <w:rPr>
          <w:rFonts w:ascii="Titillium Web" w:hAnsi="Titillium Web"/>
          <w:color w:val="auto"/>
          <w:sz w:val="24"/>
          <w:szCs w:val="24"/>
        </w:rPr>
      </w:pPr>
      <w:r w:rsidRPr="009E7F49">
        <w:rPr>
          <w:rFonts w:ascii="Titillium Web" w:eastAsia="Verdana" w:hAnsi="Titillium Web" w:cs="Verdana"/>
          <w:color w:val="auto"/>
          <w:sz w:val="24"/>
          <w:szCs w:val="24"/>
        </w:rPr>
        <w:t xml:space="preserve">L’Istituto Nazionale della Previdenza Sociale, C.F. 80078750587, </w:t>
      </w:r>
      <w:r w:rsidR="00362B06" w:rsidRPr="009E7F49">
        <w:rPr>
          <w:rFonts w:ascii="Titillium Web" w:eastAsia="Verdana" w:hAnsi="Titillium Web" w:cs="Verdana"/>
          <w:color w:val="auto"/>
          <w:sz w:val="24"/>
          <w:szCs w:val="24"/>
        </w:rPr>
        <w:t>di seguito</w:t>
      </w:r>
      <w:r w:rsidRPr="009E7F49">
        <w:rPr>
          <w:rFonts w:ascii="Titillium Web" w:eastAsia="Verdana" w:hAnsi="Titillium Web" w:cs="Verdana"/>
          <w:color w:val="auto"/>
          <w:sz w:val="24"/>
          <w:szCs w:val="24"/>
        </w:rPr>
        <w:t xml:space="preserve"> denominato più semplicemente INPS, nella persona del Direttore </w:t>
      </w:r>
      <w:r w:rsidR="0075441D">
        <w:rPr>
          <w:rFonts w:ascii="Titillium Web" w:eastAsia="Verdana" w:hAnsi="Titillium Web" w:cs="Verdana"/>
          <w:color w:val="auto"/>
          <w:sz w:val="24"/>
          <w:szCs w:val="24"/>
        </w:rPr>
        <w:t>Provinciale</w:t>
      </w:r>
      <w:r w:rsidR="0075441D" w:rsidRPr="009E7F49">
        <w:rPr>
          <w:rFonts w:ascii="Titillium Web" w:eastAsia="Verdana" w:hAnsi="Titillium Web" w:cs="Verdana"/>
          <w:color w:val="auto"/>
          <w:sz w:val="24"/>
          <w:szCs w:val="24"/>
        </w:rPr>
        <w:t xml:space="preserve"> </w:t>
      </w:r>
      <w:r w:rsidRPr="009E7F49">
        <w:rPr>
          <w:rFonts w:ascii="Titillium Web" w:eastAsia="Verdana" w:hAnsi="Titillium Web" w:cs="Verdana"/>
          <w:color w:val="auto"/>
          <w:sz w:val="24"/>
          <w:szCs w:val="24"/>
        </w:rPr>
        <w:t xml:space="preserve">/ di </w:t>
      </w:r>
      <w:r w:rsidR="0075441D">
        <w:rPr>
          <w:rFonts w:ascii="Titillium Web" w:eastAsia="Verdana" w:hAnsi="Titillium Web" w:cs="Verdana"/>
          <w:color w:val="auto"/>
          <w:sz w:val="24"/>
          <w:szCs w:val="24"/>
        </w:rPr>
        <w:t>Filiale</w:t>
      </w:r>
      <w:r w:rsidR="0075441D" w:rsidRPr="009E7F49">
        <w:rPr>
          <w:rFonts w:ascii="Titillium Web" w:eastAsia="Verdana" w:hAnsi="Titillium Web" w:cs="Verdana"/>
          <w:color w:val="auto"/>
          <w:sz w:val="24"/>
          <w:szCs w:val="24"/>
        </w:rPr>
        <w:t xml:space="preserve"> </w:t>
      </w:r>
      <w:r w:rsidR="00B75F13" w:rsidRPr="009E7F49">
        <w:rPr>
          <w:rFonts w:ascii="Titillium Web" w:eastAsia="Verdana" w:hAnsi="Titillium Web" w:cs="Verdana"/>
          <w:color w:val="auto"/>
          <w:sz w:val="24"/>
          <w:szCs w:val="24"/>
        </w:rPr>
        <w:t>metropolitan</w:t>
      </w:r>
      <w:r w:rsidR="00B75F13">
        <w:rPr>
          <w:rFonts w:ascii="Titillium Web" w:eastAsia="Verdana" w:hAnsi="Titillium Web" w:cs="Verdana"/>
          <w:color w:val="auto"/>
          <w:sz w:val="24"/>
          <w:szCs w:val="24"/>
        </w:rPr>
        <w:t>a</w:t>
      </w:r>
      <w:r w:rsidRPr="009E7F49">
        <w:rPr>
          <w:rFonts w:ascii="Titillium Web" w:eastAsia="Verdana" w:hAnsi="Titillium Web" w:cs="Verdana"/>
          <w:color w:val="auto"/>
          <w:sz w:val="24"/>
          <w:szCs w:val="24"/>
        </w:rPr>
        <w:t>, sede di ________________________,</w:t>
      </w:r>
      <w:r w:rsidR="00362B06" w:rsidRPr="009E7F49">
        <w:rPr>
          <w:rFonts w:ascii="Titillium Web" w:eastAsia="Verdana" w:hAnsi="Titillium Web" w:cs="Verdana"/>
          <w:color w:val="auto"/>
          <w:sz w:val="24"/>
          <w:szCs w:val="24"/>
        </w:rPr>
        <w:t xml:space="preserve"> </w:t>
      </w:r>
    </w:p>
    <w:p w14:paraId="69605431" w14:textId="77777777" w:rsidR="00676F85" w:rsidRPr="00192776" w:rsidRDefault="00FB55F2">
      <w:pPr>
        <w:spacing w:after="258"/>
        <w:ind w:left="371" w:right="363" w:hanging="10"/>
        <w:jc w:val="center"/>
        <w:rPr>
          <w:rFonts w:ascii="Titillium Web" w:hAnsi="Titillium Web"/>
          <w:sz w:val="24"/>
          <w:szCs w:val="24"/>
        </w:rPr>
      </w:pPr>
      <w:r w:rsidRPr="00192776">
        <w:rPr>
          <w:rFonts w:ascii="Titillium Web" w:eastAsia="Verdana" w:hAnsi="Titillium Web" w:cs="Verdana"/>
          <w:b/>
          <w:sz w:val="24"/>
          <w:szCs w:val="24"/>
        </w:rPr>
        <w:t xml:space="preserve">E </w:t>
      </w:r>
    </w:p>
    <w:p w14:paraId="7D15A4CF" w14:textId="19CE6EA3" w:rsidR="00676F85" w:rsidRPr="00192776" w:rsidRDefault="005E0F7A" w:rsidP="00362B06">
      <w:pPr>
        <w:spacing w:after="248" w:line="268" w:lineRule="auto"/>
        <w:ind w:hanging="10"/>
        <w:jc w:val="both"/>
        <w:rPr>
          <w:rFonts w:ascii="Titillium Web" w:hAnsi="Titillium Web"/>
          <w:sz w:val="24"/>
          <w:szCs w:val="24"/>
        </w:rPr>
      </w:pPr>
      <w:r>
        <w:rPr>
          <w:rFonts w:ascii="Titillium Web" w:eastAsia="Verdana" w:hAnsi="Titillium Web" w:cs="Verdana"/>
          <w:sz w:val="24"/>
          <w:szCs w:val="24"/>
        </w:rPr>
        <w:t>l</w:t>
      </w:r>
      <w:r w:rsidR="00FB55F2" w:rsidRPr="00192776">
        <w:rPr>
          <w:rFonts w:ascii="Titillium Web" w:eastAsia="Verdana" w:hAnsi="Titillium Web" w:cs="Verdana"/>
          <w:sz w:val="24"/>
          <w:szCs w:val="24"/>
        </w:rPr>
        <w:t>a/</w:t>
      </w:r>
      <w:r>
        <w:rPr>
          <w:rFonts w:ascii="Titillium Web" w:eastAsia="Verdana" w:hAnsi="Titillium Web" w:cs="Verdana"/>
          <w:sz w:val="24"/>
          <w:szCs w:val="24"/>
        </w:rPr>
        <w:t>i</w:t>
      </w:r>
      <w:r w:rsidR="00FB55F2" w:rsidRPr="00192776">
        <w:rPr>
          <w:rFonts w:ascii="Titillium Web" w:eastAsia="Verdana" w:hAnsi="Titillium Web" w:cs="Verdana"/>
          <w:sz w:val="24"/>
          <w:szCs w:val="24"/>
        </w:rPr>
        <w:t xml:space="preserve">l dott.ssa/dott. _____________________________ nato a ____________  il ____________, medico chirurgo, in prosieguo denominato “medico fiscale”, codice fiscale ________________________, iscritto all’Albo dell’Ordine dei medici della provincia di ______________ al n. __________ </w:t>
      </w:r>
    </w:p>
    <w:p w14:paraId="42608B51" w14:textId="77777777" w:rsidR="00676F85" w:rsidRPr="00192776" w:rsidRDefault="00FB55F2">
      <w:pPr>
        <w:spacing w:after="258"/>
        <w:ind w:left="371" w:hanging="10"/>
        <w:jc w:val="center"/>
        <w:rPr>
          <w:rFonts w:ascii="Titillium Web" w:hAnsi="Titillium Web"/>
          <w:sz w:val="24"/>
          <w:szCs w:val="24"/>
        </w:rPr>
      </w:pPr>
      <w:r w:rsidRPr="00192776">
        <w:rPr>
          <w:rFonts w:ascii="Titillium Web" w:eastAsia="Verdana" w:hAnsi="Titillium Web" w:cs="Verdana"/>
          <w:b/>
          <w:sz w:val="24"/>
          <w:szCs w:val="24"/>
        </w:rPr>
        <w:t xml:space="preserve">SI CONVIENE E SI STIPULA: </w:t>
      </w:r>
    </w:p>
    <w:p w14:paraId="0CCD6E7B" w14:textId="77777777" w:rsidR="00676F85" w:rsidRPr="00192776" w:rsidRDefault="00FB55F2" w:rsidP="00696935">
      <w:pPr>
        <w:spacing w:after="0" w:line="240" w:lineRule="auto"/>
        <w:ind w:left="374" w:right="4" w:hanging="11"/>
        <w:jc w:val="center"/>
        <w:rPr>
          <w:rFonts w:ascii="Titillium Web" w:hAnsi="Titillium Web"/>
          <w:sz w:val="24"/>
          <w:szCs w:val="24"/>
        </w:rPr>
      </w:pPr>
      <w:r w:rsidRPr="00192776">
        <w:rPr>
          <w:rFonts w:ascii="Titillium Web" w:eastAsia="Verdana" w:hAnsi="Titillium Web" w:cs="Verdana"/>
          <w:b/>
          <w:sz w:val="24"/>
          <w:szCs w:val="24"/>
        </w:rPr>
        <w:t xml:space="preserve">Art. 1 </w:t>
      </w:r>
    </w:p>
    <w:p w14:paraId="4014262C" w14:textId="3ED3CE2A" w:rsidR="00676F85" w:rsidRPr="00192776" w:rsidRDefault="00FB55F2" w:rsidP="00696935">
      <w:pPr>
        <w:pStyle w:val="Titolo2"/>
        <w:spacing w:after="0" w:line="240" w:lineRule="auto"/>
        <w:ind w:left="374" w:right="5" w:hanging="11"/>
        <w:rPr>
          <w:rFonts w:ascii="Titillium Web" w:hAnsi="Titillium Web"/>
          <w:sz w:val="24"/>
          <w:szCs w:val="24"/>
        </w:rPr>
      </w:pPr>
      <w:r w:rsidRPr="00192776">
        <w:rPr>
          <w:rFonts w:ascii="Titillium Web" w:hAnsi="Titillium Web"/>
          <w:sz w:val="24"/>
          <w:szCs w:val="24"/>
        </w:rPr>
        <w:t>Oggetto del Contratto</w:t>
      </w:r>
    </w:p>
    <w:p w14:paraId="60093661" w14:textId="3B307751" w:rsidR="00676F85" w:rsidRPr="00192776" w:rsidRDefault="00FB55F2">
      <w:pPr>
        <w:spacing w:after="248" w:line="268" w:lineRule="auto"/>
        <w:ind w:hanging="10"/>
        <w:jc w:val="both"/>
        <w:rPr>
          <w:rFonts w:ascii="Titillium Web" w:hAnsi="Titillium Web"/>
          <w:sz w:val="24"/>
          <w:szCs w:val="24"/>
        </w:rPr>
      </w:pPr>
      <w:r w:rsidRPr="00192776">
        <w:rPr>
          <w:rFonts w:ascii="Titillium Web" w:eastAsia="Verdana" w:hAnsi="Titillium Web" w:cs="Verdana"/>
          <w:sz w:val="24"/>
          <w:szCs w:val="24"/>
        </w:rPr>
        <w:t>Il presente contratto disciplina l’affidamento da parte</w:t>
      </w:r>
      <w:r w:rsidR="00942789" w:rsidRPr="00192776">
        <w:rPr>
          <w:rFonts w:ascii="Titillium Web" w:eastAsia="Verdana" w:hAnsi="Titillium Web" w:cs="Verdana"/>
          <w:sz w:val="24"/>
          <w:szCs w:val="24"/>
        </w:rPr>
        <w:t xml:space="preserve"> della </w:t>
      </w:r>
      <w:r w:rsidRPr="00192776">
        <w:rPr>
          <w:rFonts w:ascii="Titillium Web" w:eastAsia="Verdana" w:hAnsi="Titillium Web" w:cs="Verdana"/>
          <w:sz w:val="24"/>
          <w:szCs w:val="24"/>
        </w:rPr>
        <w:t xml:space="preserve">Direzione </w:t>
      </w:r>
      <w:r w:rsidR="000F4394">
        <w:rPr>
          <w:rFonts w:ascii="Titillium Web" w:eastAsia="Verdana" w:hAnsi="Titillium Web" w:cs="Verdana"/>
          <w:sz w:val="24"/>
          <w:szCs w:val="24"/>
        </w:rPr>
        <w:t xml:space="preserve">Provinciale </w:t>
      </w:r>
      <w:r w:rsidR="00942789" w:rsidRPr="00192776">
        <w:rPr>
          <w:rFonts w:ascii="Titillium Web" w:eastAsia="Verdana" w:hAnsi="Titillium Web" w:cs="Verdana"/>
          <w:sz w:val="24"/>
          <w:szCs w:val="24"/>
        </w:rPr>
        <w:t>di</w:t>
      </w:r>
      <w:r w:rsidR="000F4394">
        <w:rPr>
          <w:rFonts w:ascii="Titillium Web" w:eastAsia="Verdana" w:hAnsi="Titillium Web" w:cs="Verdana"/>
          <w:sz w:val="24"/>
          <w:szCs w:val="24"/>
        </w:rPr>
        <w:t xml:space="preserve"> ______</w:t>
      </w:r>
      <w:r w:rsidR="00942789" w:rsidRPr="00192776">
        <w:rPr>
          <w:rFonts w:ascii="Titillium Web" w:eastAsia="Verdana" w:hAnsi="Titillium Web" w:cs="Verdana"/>
          <w:sz w:val="24"/>
          <w:szCs w:val="24"/>
        </w:rPr>
        <w:t>_____</w:t>
      </w:r>
      <w:r w:rsidR="005E0F7A">
        <w:rPr>
          <w:rFonts w:ascii="Titillium Web" w:eastAsia="Verdana" w:hAnsi="Titillium Web" w:cs="Verdana"/>
          <w:sz w:val="24"/>
          <w:szCs w:val="24"/>
        </w:rPr>
        <w:t xml:space="preserve"> </w:t>
      </w:r>
      <w:r w:rsidRPr="00192776">
        <w:rPr>
          <w:rFonts w:ascii="Titillium Web" w:eastAsia="Verdana" w:hAnsi="Titillium Web" w:cs="Verdana"/>
          <w:sz w:val="24"/>
          <w:szCs w:val="24"/>
        </w:rPr>
        <w:t>/</w:t>
      </w:r>
      <w:r w:rsidR="0017066B" w:rsidRPr="00192776">
        <w:rPr>
          <w:rFonts w:ascii="Titillium Web" w:eastAsia="Verdana" w:hAnsi="Titillium Web" w:cs="Verdana"/>
          <w:sz w:val="24"/>
          <w:szCs w:val="24"/>
        </w:rPr>
        <w:t xml:space="preserve"> </w:t>
      </w:r>
      <w:r w:rsidR="000F4394">
        <w:rPr>
          <w:rFonts w:ascii="Titillium Web" w:eastAsia="Verdana" w:hAnsi="Titillium Web" w:cs="Verdana"/>
          <w:sz w:val="24"/>
          <w:szCs w:val="24"/>
        </w:rPr>
        <w:t xml:space="preserve">Filiale </w:t>
      </w:r>
      <w:r w:rsidR="000F4394" w:rsidRPr="00192776">
        <w:rPr>
          <w:rFonts w:ascii="Titillium Web" w:eastAsia="Verdana" w:hAnsi="Titillium Web" w:cs="Verdana"/>
          <w:sz w:val="24"/>
          <w:szCs w:val="24"/>
        </w:rPr>
        <w:t>metropolitan</w:t>
      </w:r>
      <w:r w:rsidR="000F4394">
        <w:rPr>
          <w:rFonts w:ascii="Titillium Web" w:eastAsia="Verdana" w:hAnsi="Titillium Web" w:cs="Verdana"/>
          <w:sz w:val="24"/>
          <w:szCs w:val="24"/>
        </w:rPr>
        <w:t>a</w:t>
      </w:r>
      <w:r w:rsidR="000F4394" w:rsidRPr="00192776">
        <w:rPr>
          <w:rFonts w:ascii="Titillium Web" w:eastAsia="Verdana" w:hAnsi="Titillium Web" w:cs="Verdana"/>
          <w:sz w:val="24"/>
          <w:szCs w:val="24"/>
        </w:rPr>
        <w:t xml:space="preserve"> </w:t>
      </w:r>
      <w:r w:rsidR="0017066B" w:rsidRPr="00192776">
        <w:rPr>
          <w:rFonts w:ascii="Titillium Web" w:eastAsia="Verdana" w:hAnsi="Titillium Web" w:cs="Verdana"/>
          <w:sz w:val="24"/>
          <w:szCs w:val="24"/>
        </w:rPr>
        <w:t xml:space="preserve">di </w:t>
      </w:r>
      <w:r w:rsidR="005E0F7A">
        <w:rPr>
          <w:rFonts w:ascii="Titillium Web" w:eastAsia="Verdana" w:hAnsi="Titillium Web" w:cs="Verdana"/>
          <w:sz w:val="24"/>
          <w:szCs w:val="24"/>
        </w:rPr>
        <w:t>_________</w:t>
      </w:r>
      <w:r w:rsidR="00942789" w:rsidRPr="00192776">
        <w:rPr>
          <w:rFonts w:ascii="Titillium Web" w:eastAsia="Verdana" w:hAnsi="Titillium Web" w:cs="Verdana"/>
          <w:sz w:val="24"/>
          <w:szCs w:val="24"/>
        </w:rPr>
        <w:t xml:space="preserve"> </w:t>
      </w:r>
      <w:r w:rsidRPr="00192776">
        <w:rPr>
          <w:rFonts w:ascii="Titillium Web" w:eastAsia="Verdana" w:hAnsi="Titillium Web" w:cs="Verdana"/>
          <w:sz w:val="24"/>
          <w:szCs w:val="24"/>
        </w:rPr>
        <w:t>alla/al dott.ssa/dott.</w:t>
      </w:r>
      <w:r w:rsidR="000F4394">
        <w:rPr>
          <w:rFonts w:ascii="Titillium Web" w:eastAsia="Verdana" w:hAnsi="Titillium Web" w:cs="Verdana"/>
          <w:sz w:val="24"/>
          <w:szCs w:val="24"/>
        </w:rPr>
        <w:t xml:space="preserve"> </w:t>
      </w:r>
      <w:r w:rsidRPr="00192776">
        <w:rPr>
          <w:rFonts w:ascii="Titillium Web" w:eastAsia="Verdana" w:hAnsi="Titillium Web" w:cs="Verdana"/>
          <w:sz w:val="24"/>
          <w:szCs w:val="24"/>
        </w:rPr>
        <w:t>_____________________________ dell’incarico professionale</w:t>
      </w:r>
      <w:r w:rsidR="00942789" w:rsidRPr="00192776">
        <w:rPr>
          <w:rFonts w:ascii="Titillium Web" w:eastAsia="Verdana" w:hAnsi="Titillium Web" w:cs="Verdana"/>
          <w:sz w:val="24"/>
          <w:szCs w:val="24"/>
        </w:rPr>
        <w:t xml:space="preserve"> </w:t>
      </w:r>
      <w:r w:rsidRPr="00192776">
        <w:rPr>
          <w:rFonts w:ascii="Titillium Web" w:eastAsia="Verdana" w:hAnsi="Titillium Web" w:cs="Verdana"/>
          <w:sz w:val="24"/>
          <w:szCs w:val="24"/>
        </w:rPr>
        <w:t xml:space="preserve">avente ad oggetto l’espletamento </w:t>
      </w:r>
      <w:r w:rsidR="00F0048E">
        <w:rPr>
          <w:rFonts w:ascii="Titillium Web" w:eastAsia="Verdana" w:hAnsi="Titillium Web" w:cs="Verdana"/>
          <w:sz w:val="24"/>
          <w:szCs w:val="24"/>
        </w:rPr>
        <w:t>del</w:t>
      </w:r>
      <w:r w:rsidRPr="00192776">
        <w:rPr>
          <w:rFonts w:ascii="Titillium Web" w:eastAsia="Verdana" w:hAnsi="Titillium Web" w:cs="Verdana"/>
          <w:sz w:val="24"/>
          <w:szCs w:val="24"/>
        </w:rPr>
        <w:t>le funzioni di accertamento</w:t>
      </w:r>
      <w:r w:rsidRPr="00192776">
        <w:rPr>
          <w:rFonts w:ascii="Titillium Web" w:eastAsia="Verdana" w:hAnsi="Titillium Web" w:cs="Verdana"/>
          <w:b/>
          <w:sz w:val="24"/>
          <w:szCs w:val="24"/>
        </w:rPr>
        <w:t xml:space="preserve"> </w:t>
      </w:r>
      <w:r w:rsidRPr="00192776">
        <w:rPr>
          <w:rFonts w:ascii="Titillium Web" w:eastAsia="Verdana" w:hAnsi="Titillium Web" w:cs="Verdana"/>
          <w:sz w:val="24"/>
          <w:szCs w:val="24"/>
        </w:rPr>
        <w:t>medico</w:t>
      </w:r>
      <w:r w:rsidR="00EC2DBF">
        <w:rPr>
          <w:rFonts w:ascii="Titillium Web" w:eastAsia="Verdana" w:hAnsi="Titillium Web" w:cs="Verdana"/>
          <w:sz w:val="24"/>
          <w:szCs w:val="24"/>
        </w:rPr>
        <w:t xml:space="preserve"> </w:t>
      </w:r>
      <w:r w:rsidRPr="00192776">
        <w:rPr>
          <w:rFonts w:ascii="Titillium Web" w:eastAsia="Verdana" w:hAnsi="Titillium Web" w:cs="Verdana"/>
          <w:sz w:val="24"/>
          <w:szCs w:val="24"/>
        </w:rPr>
        <w:t xml:space="preserve">legale sulle assenze dal servizio per malattia dei lavoratori dei settori pubblici e privati, </w:t>
      </w:r>
      <w:r w:rsidRPr="00877301">
        <w:rPr>
          <w:rFonts w:ascii="Titillium Web" w:eastAsia="Verdana" w:hAnsi="Titillium Web" w:cs="Verdana"/>
          <w:sz w:val="24"/>
          <w:szCs w:val="24"/>
        </w:rPr>
        <w:t>ivi comprese le attività ambulatoriali per gli assenti a visita domiciliare</w:t>
      </w:r>
      <w:r w:rsidR="00877301">
        <w:rPr>
          <w:rFonts w:ascii="Titillium Web" w:eastAsia="Verdana" w:hAnsi="Titillium Web" w:cs="Verdana"/>
          <w:sz w:val="24"/>
          <w:szCs w:val="24"/>
        </w:rPr>
        <w:t>.</w:t>
      </w:r>
    </w:p>
    <w:p w14:paraId="5C78239E" w14:textId="77777777" w:rsidR="00676F85" w:rsidRPr="00192776" w:rsidRDefault="00FB55F2">
      <w:pPr>
        <w:spacing w:after="248" w:line="268" w:lineRule="auto"/>
        <w:ind w:hanging="10"/>
        <w:jc w:val="both"/>
        <w:rPr>
          <w:rFonts w:ascii="Titillium Web" w:hAnsi="Titillium Web"/>
          <w:sz w:val="24"/>
          <w:szCs w:val="24"/>
        </w:rPr>
      </w:pPr>
      <w:r w:rsidRPr="00192776">
        <w:rPr>
          <w:rFonts w:ascii="Titillium Web" w:eastAsia="Verdana" w:hAnsi="Titillium Web" w:cs="Verdana"/>
          <w:sz w:val="24"/>
          <w:szCs w:val="24"/>
        </w:rPr>
        <w:t xml:space="preserve">L’incarico ha carattere libero professionale e in nessun caso potrà configurarsi come rapporto di lavoro alle dipendenze dell’INPS. </w:t>
      </w:r>
    </w:p>
    <w:p w14:paraId="33DE664C" w14:textId="77777777" w:rsidR="00877301" w:rsidRDefault="00877301" w:rsidP="00696935">
      <w:pPr>
        <w:spacing w:after="257" w:line="240" w:lineRule="auto"/>
        <w:ind w:left="5"/>
        <w:jc w:val="center"/>
        <w:rPr>
          <w:rFonts w:ascii="Titillium Web" w:eastAsia="Verdana" w:hAnsi="Titillium Web" w:cs="Verdana"/>
          <w:b/>
          <w:sz w:val="24"/>
          <w:szCs w:val="24"/>
        </w:rPr>
      </w:pPr>
    </w:p>
    <w:p w14:paraId="4F91D92C" w14:textId="6844D64E" w:rsidR="00676F85" w:rsidRPr="00192776" w:rsidRDefault="00FB55F2" w:rsidP="00696935">
      <w:pPr>
        <w:spacing w:after="257" w:line="240" w:lineRule="auto"/>
        <w:ind w:left="5"/>
        <w:jc w:val="center"/>
        <w:rPr>
          <w:rFonts w:ascii="Titillium Web" w:hAnsi="Titillium Web"/>
          <w:sz w:val="24"/>
          <w:szCs w:val="24"/>
        </w:rPr>
      </w:pPr>
      <w:r w:rsidRPr="00192776">
        <w:rPr>
          <w:rFonts w:ascii="Titillium Web" w:eastAsia="Verdana" w:hAnsi="Titillium Web" w:cs="Verdana"/>
          <w:b/>
          <w:sz w:val="24"/>
          <w:szCs w:val="24"/>
        </w:rPr>
        <w:t xml:space="preserve">Art. 2 </w:t>
      </w:r>
    </w:p>
    <w:p w14:paraId="29454E78" w14:textId="77777777" w:rsidR="00676F85" w:rsidRPr="00192776" w:rsidRDefault="00FB55F2" w:rsidP="00696935">
      <w:pPr>
        <w:pStyle w:val="Titolo2"/>
        <w:spacing w:line="240" w:lineRule="auto"/>
        <w:ind w:left="371" w:right="5"/>
        <w:rPr>
          <w:rFonts w:ascii="Titillium Web" w:hAnsi="Titillium Web"/>
          <w:sz w:val="24"/>
          <w:szCs w:val="24"/>
        </w:rPr>
      </w:pPr>
      <w:r w:rsidRPr="00192776">
        <w:rPr>
          <w:rFonts w:ascii="Titillium Web" w:hAnsi="Titillium Web"/>
          <w:sz w:val="24"/>
          <w:szCs w:val="24"/>
        </w:rPr>
        <w:t xml:space="preserve">Obblighi, condizioni e incompatibilità </w:t>
      </w:r>
    </w:p>
    <w:p w14:paraId="62E01122" w14:textId="3CD10A9D" w:rsidR="00676F85" w:rsidRPr="00192776" w:rsidRDefault="00FB55F2">
      <w:pPr>
        <w:spacing w:after="248" w:line="268" w:lineRule="auto"/>
        <w:ind w:hanging="10"/>
        <w:jc w:val="both"/>
        <w:rPr>
          <w:rFonts w:ascii="Titillium Web" w:hAnsi="Titillium Web"/>
          <w:sz w:val="24"/>
          <w:szCs w:val="24"/>
        </w:rPr>
      </w:pPr>
      <w:r w:rsidRPr="00192776">
        <w:rPr>
          <w:rFonts w:ascii="Titillium Web" w:eastAsia="Verdana" w:hAnsi="Titillium Web" w:cs="Verdana"/>
          <w:sz w:val="24"/>
          <w:szCs w:val="24"/>
        </w:rPr>
        <w:t>Il medico fiscale INPS nell’esercizio delle sue funzioni è tenuto a fornire con diligenza e perizia la propria opera</w:t>
      </w:r>
      <w:r w:rsidR="008E402B">
        <w:rPr>
          <w:rFonts w:ascii="Titillium Web" w:eastAsia="Verdana" w:hAnsi="Titillium Web" w:cs="Verdana"/>
          <w:sz w:val="24"/>
          <w:szCs w:val="24"/>
        </w:rPr>
        <w:t xml:space="preserve"> </w:t>
      </w:r>
      <w:r w:rsidRPr="00192776">
        <w:rPr>
          <w:rFonts w:ascii="Titillium Web" w:eastAsia="Verdana" w:hAnsi="Titillium Web" w:cs="Verdana"/>
          <w:sz w:val="24"/>
          <w:szCs w:val="24"/>
        </w:rPr>
        <w:t xml:space="preserve">e a svolgere i compiti affidati e declinati dalle norme vigenti e nelle circolari, istruzioni operative, direttive e linee guida emanate dall’INPS, con particolare riguardo alla corretta valutazione del ripristino della capacità di lavoro specifico e all’appropriatezza di forma e contenuto della visita medica di controllo e nella redazione dei relativi verbali/moduli. </w:t>
      </w:r>
    </w:p>
    <w:p w14:paraId="48FE2064" w14:textId="3EBD220C" w:rsidR="00676F85" w:rsidRPr="00192776" w:rsidRDefault="00FB55F2">
      <w:pPr>
        <w:spacing w:after="248" w:line="268" w:lineRule="auto"/>
        <w:ind w:hanging="10"/>
        <w:jc w:val="both"/>
        <w:rPr>
          <w:rFonts w:ascii="Titillium Web" w:hAnsi="Titillium Web"/>
          <w:sz w:val="24"/>
          <w:szCs w:val="24"/>
        </w:rPr>
      </w:pPr>
      <w:r w:rsidRPr="008E402B">
        <w:rPr>
          <w:rFonts w:ascii="Titillium Web" w:eastAsia="Verdana" w:hAnsi="Titillium Web" w:cs="Verdana"/>
          <w:sz w:val="24"/>
          <w:szCs w:val="24"/>
        </w:rPr>
        <w:t>Il medico fiscale si obbliga a prestare la propria opera professionale nell’ambito territoriale di competenza della UOC/UOST I</w:t>
      </w:r>
      <w:r w:rsidR="00211AE9">
        <w:rPr>
          <w:rFonts w:ascii="Titillium Web" w:eastAsia="Verdana" w:hAnsi="Titillium Web" w:cs="Verdana"/>
          <w:sz w:val="24"/>
          <w:szCs w:val="24"/>
        </w:rPr>
        <w:t>NPS</w:t>
      </w:r>
      <w:r w:rsidRPr="008E402B">
        <w:rPr>
          <w:rFonts w:ascii="Titillium Web" w:eastAsia="Verdana" w:hAnsi="Titillium Web" w:cs="Verdana"/>
          <w:sz w:val="24"/>
          <w:szCs w:val="24"/>
        </w:rPr>
        <w:t xml:space="preserve"> di ……………………..</w:t>
      </w:r>
      <w:r w:rsidRPr="00192776">
        <w:rPr>
          <w:rFonts w:ascii="Titillium Web" w:eastAsia="Verdana" w:hAnsi="Titillium Web" w:cs="Verdana"/>
          <w:sz w:val="24"/>
          <w:szCs w:val="24"/>
        </w:rPr>
        <w:t xml:space="preserve">  </w:t>
      </w:r>
    </w:p>
    <w:p w14:paraId="582D6A67" w14:textId="5E229636" w:rsidR="00676F85" w:rsidRPr="00192776" w:rsidRDefault="00FB55F2">
      <w:pPr>
        <w:spacing w:after="248" w:line="268" w:lineRule="auto"/>
        <w:ind w:hanging="10"/>
        <w:jc w:val="both"/>
        <w:rPr>
          <w:rFonts w:ascii="Titillium Web" w:hAnsi="Titillium Web"/>
          <w:sz w:val="24"/>
          <w:szCs w:val="24"/>
        </w:rPr>
      </w:pPr>
      <w:r w:rsidRPr="00192776">
        <w:rPr>
          <w:rFonts w:ascii="Titillium Web" w:eastAsia="Verdana" w:hAnsi="Titillium Web" w:cs="Verdana"/>
          <w:sz w:val="24"/>
          <w:szCs w:val="24"/>
        </w:rPr>
        <w:t xml:space="preserve">Il medico fiscale svolgerà la propria attività relazionandosi con il Direttore </w:t>
      </w:r>
      <w:r w:rsidR="00A57DCD">
        <w:rPr>
          <w:rFonts w:ascii="Titillium Web" w:eastAsia="Verdana" w:hAnsi="Titillium Web" w:cs="Verdana"/>
          <w:sz w:val="24"/>
          <w:szCs w:val="24"/>
        </w:rPr>
        <w:t>provinciale</w:t>
      </w:r>
      <w:r w:rsidRPr="00192776">
        <w:rPr>
          <w:rFonts w:ascii="Titillium Web" w:eastAsia="Verdana" w:hAnsi="Titillium Web" w:cs="Verdana"/>
          <w:sz w:val="24"/>
          <w:szCs w:val="24"/>
        </w:rPr>
        <w:t>/</w:t>
      </w:r>
      <w:r w:rsidR="0017066B" w:rsidRPr="00192776">
        <w:rPr>
          <w:rFonts w:ascii="Titillium Web" w:eastAsia="Verdana" w:hAnsi="Titillium Web" w:cs="Verdana"/>
          <w:sz w:val="24"/>
          <w:szCs w:val="24"/>
        </w:rPr>
        <w:t xml:space="preserve">di </w:t>
      </w:r>
      <w:r w:rsidR="00BA53AF">
        <w:rPr>
          <w:rFonts w:ascii="Titillium Web" w:eastAsia="Verdana" w:hAnsi="Titillium Web" w:cs="Verdana"/>
          <w:sz w:val="24"/>
          <w:szCs w:val="24"/>
        </w:rPr>
        <w:t>f</w:t>
      </w:r>
      <w:r w:rsidR="00A57DCD">
        <w:rPr>
          <w:rFonts w:ascii="Titillium Web" w:eastAsia="Verdana" w:hAnsi="Titillium Web" w:cs="Verdana"/>
          <w:sz w:val="24"/>
          <w:szCs w:val="24"/>
        </w:rPr>
        <w:t>iliale</w:t>
      </w:r>
      <w:r w:rsidR="0017066B" w:rsidRPr="00192776">
        <w:rPr>
          <w:rFonts w:ascii="Titillium Web" w:eastAsia="Verdana" w:hAnsi="Titillium Web" w:cs="Verdana"/>
          <w:sz w:val="24"/>
          <w:szCs w:val="24"/>
        </w:rPr>
        <w:t xml:space="preserve"> metropolitan</w:t>
      </w:r>
      <w:r w:rsidR="00A57DCD">
        <w:rPr>
          <w:rFonts w:ascii="Titillium Web" w:eastAsia="Verdana" w:hAnsi="Titillium Web" w:cs="Verdana"/>
          <w:sz w:val="24"/>
          <w:szCs w:val="24"/>
        </w:rPr>
        <w:t>a</w:t>
      </w:r>
      <w:r w:rsidR="0017066B" w:rsidRPr="00192776">
        <w:rPr>
          <w:rFonts w:ascii="Titillium Web" w:eastAsia="Verdana" w:hAnsi="Titillium Web" w:cs="Verdana"/>
          <w:sz w:val="24"/>
          <w:szCs w:val="24"/>
        </w:rPr>
        <w:t xml:space="preserve"> </w:t>
      </w:r>
      <w:r w:rsidRPr="00192776">
        <w:rPr>
          <w:rFonts w:ascii="Titillium Web" w:eastAsia="Verdana" w:hAnsi="Titillium Web" w:cs="Verdana"/>
          <w:sz w:val="24"/>
          <w:szCs w:val="24"/>
        </w:rPr>
        <w:t>cui fa riferimento l’Ufficio medico legale presso cui opera e con il Responsabile della struttura medico</w:t>
      </w:r>
      <w:r w:rsidR="00EC2DBF">
        <w:rPr>
          <w:rFonts w:ascii="Titillium Web" w:eastAsia="Verdana" w:hAnsi="Titillium Web" w:cs="Verdana"/>
          <w:sz w:val="24"/>
          <w:szCs w:val="24"/>
        </w:rPr>
        <w:t xml:space="preserve"> </w:t>
      </w:r>
      <w:r w:rsidRPr="00192776">
        <w:rPr>
          <w:rFonts w:ascii="Titillium Web" w:eastAsia="Verdana" w:hAnsi="Titillium Web" w:cs="Verdana"/>
          <w:sz w:val="24"/>
          <w:szCs w:val="24"/>
        </w:rPr>
        <w:t xml:space="preserve">legale per i relativi aspetti organizzativi.  </w:t>
      </w:r>
    </w:p>
    <w:p w14:paraId="6157D598" w14:textId="77777777" w:rsidR="00676F85" w:rsidRPr="00192776" w:rsidRDefault="00FB55F2">
      <w:pPr>
        <w:spacing w:after="248" w:line="268" w:lineRule="auto"/>
        <w:ind w:hanging="10"/>
        <w:jc w:val="both"/>
        <w:rPr>
          <w:rFonts w:ascii="Titillium Web" w:hAnsi="Titillium Web"/>
          <w:sz w:val="24"/>
          <w:szCs w:val="24"/>
        </w:rPr>
      </w:pPr>
      <w:r w:rsidRPr="00192776">
        <w:rPr>
          <w:rFonts w:ascii="Titillium Web" w:eastAsia="Verdana" w:hAnsi="Titillium Web" w:cs="Verdana"/>
          <w:sz w:val="24"/>
          <w:szCs w:val="24"/>
        </w:rPr>
        <w:t xml:space="preserve">Le visite mediche di controllo verranno effettuate nel rispetto delle linee guida fornite dal Coordinatore generale Medico legale. </w:t>
      </w:r>
    </w:p>
    <w:p w14:paraId="01AA22CE" w14:textId="21C053AC" w:rsidR="00676F85" w:rsidRPr="00192776" w:rsidRDefault="00FB55F2">
      <w:pPr>
        <w:spacing w:after="248" w:line="268" w:lineRule="auto"/>
        <w:ind w:hanging="10"/>
        <w:jc w:val="both"/>
        <w:rPr>
          <w:rFonts w:ascii="Titillium Web" w:hAnsi="Titillium Web"/>
          <w:sz w:val="24"/>
          <w:szCs w:val="24"/>
        </w:rPr>
      </w:pPr>
      <w:r w:rsidRPr="00192776">
        <w:rPr>
          <w:rFonts w:ascii="Titillium Web" w:eastAsia="Verdana" w:hAnsi="Titillium Web" w:cs="Verdana"/>
          <w:sz w:val="24"/>
          <w:szCs w:val="24"/>
        </w:rPr>
        <w:t>Il medico fiscale può essere convocato dal Responsabile dell’Ufficio medico legale di appartenenza a prestare la propria opera in attività ambulatoriale, sulla base di un calendario di disponibilità e nelle modalità che verranno fornite dall’I</w:t>
      </w:r>
      <w:r w:rsidR="00211AE9">
        <w:rPr>
          <w:rFonts w:ascii="Titillium Web" w:eastAsia="Verdana" w:hAnsi="Titillium Web" w:cs="Verdana"/>
          <w:sz w:val="24"/>
          <w:szCs w:val="24"/>
        </w:rPr>
        <w:t>NPS</w:t>
      </w:r>
      <w:r w:rsidRPr="00192776">
        <w:rPr>
          <w:rFonts w:ascii="Titillium Web" w:eastAsia="Verdana" w:hAnsi="Titillium Web" w:cs="Verdana"/>
          <w:sz w:val="24"/>
          <w:szCs w:val="24"/>
        </w:rPr>
        <w:t xml:space="preserve">. </w:t>
      </w:r>
    </w:p>
    <w:p w14:paraId="7705F29A" w14:textId="15DC65D5" w:rsidR="00676F85" w:rsidRPr="00192776" w:rsidRDefault="00FB55F2" w:rsidP="006D0BED">
      <w:pPr>
        <w:spacing w:after="248" w:line="268" w:lineRule="auto"/>
        <w:ind w:hanging="10"/>
        <w:jc w:val="both"/>
        <w:rPr>
          <w:rFonts w:ascii="Titillium Web" w:eastAsia="Verdana" w:hAnsi="Titillium Web" w:cs="Verdana"/>
          <w:sz w:val="24"/>
          <w:szCs w:val="24"/>
        </w:rPr>
      </w:pPr>
      <w:r w:rsidRPr="00A15DF2">
        <w:rPr>
          <w:rFonts w:ascii="Titillium Web" w:eastAsia="Verdana" w:hAnsi="Titillium Web" w:cs="Verdana"/>
          <w:sz w:val="24"/>
          <w:szCs w:val="24"/>
        </w:rPr>
        <w:t xml:space="preserve">Il medico fiscale deve assicurare la disponibilità a svolgere attività </w:t>
      </w:r>
      <w:r w:rsidR="006D0BED" w:rsidRPr="00A15DF2">
        <w:rPr>
          <w:rFonts w:ascii="Titillium Web" w:eastAsia="Verdana" w:hAnsi="Titillium Web" w:cs="Verdana"/>
          <w:sz w:val="24"/>
          <w:szCs w:val="24"/>
        </w:rPr>
        <w:t xml:space="preserve">ambulatoriale </w:t>
      </w:r>
      <w:r w:rsidR="00C2000B" w:rsidRPr="00A15DF2">
        <w:rPr>
          <w:rFonts w:ascii="Titillium Web" w:eastAsia="Verdana" w:hAnsi="Titillium Web" w:cs="Verdana"/>
          <w:sz w:val="24"/>
          <w:szCs w:val="24"/>
        </w:rPr>
        <w:t xml:space="preserve">presso i gabinetti medici della sede INPS di competenza </w:t>
      </w:r>
      <w:r w:rsidR="006D0BED" w:rsidRPr="00A15DF2">
        <w:rPr>
          <w:rFonts w:ascii="Titillium Web" w:eastAsia="Verdana" w:hAnsi="Titillium Web" w:cs="Verdana"/>
          <w:sz w:val="24"/>
          <w:szCs w:val="24"/>
        </w:rPr>
        <w:t>secondo il calendario concordato</w:t>
      </w:r>
      <w:r w:rsidR="00BA53AF" w:rsidRPr="00A15DF2">
        <w:rPr>
          <w:rFonts w:ascii="Titillium Web" w:eastAsia="Verdana" w:hAnsi="Titillium Web" w:cs="Verdana"/>
          <w:sz w:val="24"/>
          <w:szCs w:val="24"/>
        </w:rPr>
        <w:t xml:space="preserve"> con il</w:t>
      </w:r>
      <w:r w:rsidR="006D0BED" w:rsidRPr="00A15DF2">
        <w:rPr>
          <w:rFonts w:ascii="Titillium Web" w:eastAsia="Verdana" w:hAnsi="Titillium Web" w:cs="Verdana"/>
          <w:sz w:val="24"/>
          <w:szCs w:val="24"/>
        </w:rPr>
        <w:t xml:space="preserve"> Responsabile della struttura medico-legale</w:t>
      </w:r>
      <w:r w:rsidRPr="00A15DF2">
        <w:rPr>
          <w:rFonts w:ascii="Titillium Web" w:eastAsia="Verdana" w:hAnsi="Titillium Web" w:cs="Verdana"/>
          <w:sz w:val="24"/>
          <w:szCs w:val="24"/>
        </w:rPr>
        <w:t>.</w:t>
      </w:r>
      <w:r w:rsidRPr="00192776">
        <w:rPr>
          <w:rFonts w:ascii="Titillium Web" w:eastAsia="Verdana" w:hAnsi="Titillium Web" w:cs="Verdana"/>
          <w:sz w:val="24"/>
          <w:szCs w:val="24"/>
        </w:rPr>
        <w:t xml:space="preserve"> </w:t>
      </w:r>
    </w:p>
    <w:p w14:paraId="4A0C0638" w14:textId="372B13D3" w:rsidR="006D0BED" w:rsidRPr="00192776" w:rsidRDefault="00FB55F2" w:rsidP="006D0BED">
      <w:pPr>
        <w:spacing w:after="248" w:line="268" w:lineRule="auto"/>
        <w:ind w:hanging="10"/>
        <w:jc w:val="both"/>
        <w:rPr>
          <w:rFonts w:ascii="Titillium Web" w:hAnsi="Titillium Web"/>
          <w:sz w:val="24"/>
          <w:szCs w:val="24"/>
        </w:rPr>
      </w:pPr>
      <w:r w:rsidRPr="00192776">
        <w:rPr>
          <w:rFonts w:ascii="Titillium Web" w:eastAsia="Verdana" w:hAnsi="Titillium Web" w:cs="Verdana"/>
          <w:sz w:val="24"/>
          <w:szCs w:val="24"/>
        </w:rPr>
        <w:t>La disponibilità a effettuare visite mediche di controllo è</w:t>
      </w:r>
      <w:r w:rsidR="00EC62EF" w:rsidRPr="00192776">
        <w:rPr>
          <w:rFonts w:ascii="Titillium Web" w:eastAsia="Verdana" w:hAnsi="Titillium Web" w:cs="Verdana"/>
          <w:sz w:val="24"/>
          <w:szCs w:val="24"/>
        </w:rPr>
        <w:t xml:space="preserve"> </w:t>
      </w:r>
      <w:r w:rsidR="00FC5E86">
        <w:rPr>
          <w:rFonts w:ascii="Titillium Web" w:hAnsi="Titillium Web"/>
          <w:sz w:val="24"/>
          <w:szCs w:val="24"/>
        </w:rPr>
        <w:t>per un minimo di 15 giorni al mese</w:t>
      </w:r>
      <w:r w:rsidRPr="00192776">
        <w:rPr>
          <w:rFonts w:ascii="Titillium Web" w:eastAsia="Verdana" w:hAnsi="Titillium Web" w:cs="Verdana"/>
          <w:sz w:val="24"/>
          <w:szCs w:val="24"/>
        </w:rPr>
        <w:t xml:space="preserve">: </w:t>
      </w:r>
    </w:p>
    <w:p w14:paraId="04A88EBB" w14:textId="27EF1F00" w:rsidR="0075441D" w:rsidRDefault="00FC5E86" w:rsidP="0075441D">
      <w:pPr>
        <w:pStyle w:val="Paragrafoelenco"/>
        <w:numPr>
          <w:ilvl w:val="0"/>
          <w:numId w:val="3"/>
        </w:numPr>
        <w:spacing w:after="248" w:line="266" w:lineRule="auto"/>
        <w:jc w:val="both"/>
        <w:rPr>
          <w:rFonts w:ascii="Titillium Web" w:hAnsi="Titillium Web"/>
          <w:sz w:val="24"/>
          <w:szCs w:val="24"/>
        </w:rPr>
      </w:pPr>
      <w:r>
        <w:rPr>
          <w:rFonts w:ascii="Titillium Web" w:eastAsia="Verdana" w:hAnsi="Titillium Web" w:cs="Verdana"/>
          <w:sz w:val="24"/>
          <w:szCs w:val="24"/>
        </w:rPr>
        <w:t xml:space="preserve">su </w:t>
      </w:r>
      <w:r w:rsidR="0075441D">
        <w:rPr>
          <w:rFonts w:ascii="Titillium Web" w:hAnsi="Titillium Web"/>
          <w:sz w:val="24"/>
          <w:szCs w:val="24"/>
        </w:rPr>
        <w:t>entrambe le fasce, sia antimeridiana sia pomeridiana;</w:t>
      </w:r>
    </w:p>
    <w:p w14:paraId="517849F0" w14:textId="6E88C007" w:rsidR="0075441D" w:rsidRDefault="0075441D" w:rsidP="0075441D">
      <w:pPr>
        <w:pStyle w:val="Paragrafoelenco"/>
        <w:numPr>
          <w:ilvl w:val="0"/>
          <w:numId w:val="3"/>
        </w:numPr>
        <w:spacing w:after="248" w:line="266" w:lineRule="auto"/>
        <w:jc w:val="both"/>
        <w:rPr>
          <w:rFonts w:ascii="Titillium Web" w:hAnsi="Titillium Web"/>
          <w:color w:val="auto"/>
          <w:sz w:val="24"/>
          <w:szCs w:val="24"/>
        </w:rPr>
      </w:pPr>
      <w:r>
        <w:rPr>
          <w:rFonts w:ascii="Titillium Web" w:eastAsia="Verdana" w:hAnsi="Titillium Web" w:cs="Verdana"/>
          <w:color w:val="auto"/>
          <w:sz w:val="24"/>
          <w:szCs w:val="24"/>
        </w:rPr>
        <w:t>sulla fascia antimeridiana</w:t>
      </w:r>
      <w:bookmarkStart w:id="0" w:name="_Hlk193810842"/>
      <w:r>
        <w:rPr>
          <w:rFonts w:ascii="Titillium Web" w:eastAsia="Verdana" w:hAnsi="Titillium Web" w:cs="Verdana"/>
          <w:color w:val="auto"/>
          <w:sz w:val="24"/>
          <w:szCs w:val="24"/>
        </w:rPr>
        <w:t>;</w:t>
      </w:r>
      <w:bookmarkEnd w:id="0"/>
    </w:p>
    <w:p w14:paraId="0EB96A43" w14:textId="72D228DC" w:rsidR="0075441D" w:rsidRDefault="0075441D" w:rsidP="0075441D">
      <w:pPr>
        <w:pStyle w:val="Paragrafoelenco"/>
        <w:numPr>
          <w:ilvl w:val="0"/>
          <w:numId w:val="3"/>
        </w:numPr>
        <w:spacing w:after="248" w:line="266" w:lineRule="auto"/>
        <w:jc w:val="both"/>
        <w:rPr>
          <w:rFonts w:ascii="Titillium Web" w:hAnsi="Titillium Web"/>
          <w:color w:val="auto"/>
          <w:sz w:val="24"/>
          <w:szCs w:val="24"/>
        </w:rPr>
      </w:pPr>
      <w:r>
        <w:rPr>
          <w:rFonts w:ascii="Titillium Web" w:hAnsi="Titillium Web"/>
          <w:color w:val="auto"/>
          <w:sz w:val="24"/>
          <w:szCs w:val="24"/>
        </w:rPr>
        <w:t>sulla fascia pomeridiana</w:t>
      </w:r>
      <w:r w:rsidR="00FC5E86">
        <w:rPr>
          <w:rFonts w:ascii="Titillium Web" w:hAnsi="Titillium Web"/>
          <w:color w:val="auto"/>
          <w:sz w:val="24"/>
          <w:szCs w:val="24"/>
        </w:rPr>
        <w:t>.</w:t>
      </w:r>
    </w:p>
    <w:p w14:paraId="7A2E394B" w14:textId="6AE06313" w:rsidR="0075441D" w:rsidRDefault="00FC5E86" w:rsidP="0075441D">
      <w:pPr>
        <w:spacing w:after="248" w:line="266" w:lineRule="auto"/>
        <w:jc w:val="both"/>
        <w:rPr>
          <w:rFonts w:ascii="Titillium Web" w:eastAsia="Verdana" w:hAnsi="Titillium Web" w:cs="Verdana"/>
          <w:color w:val="auto"/>
          <w:sz w:val="24"/>
          <w:szCs w:val="24"/>
        </w:rPr>
      </w:pPr>
      <w:r>
        <w:rPr>
          <w:rFonts w:ascii="Titillium Web" w:eastAsia="Verdana" w:hAnsi="Titillium Web" w:cs="Verdana"/>
          <w:color w:val="auto"/>
          <w:sz w:val="24"/>
          <w:szCs w:val="24"/>
        </w:rPr>
        <w:t>I</w:t>
      </w:r>
      <w:r w:rsidR="0075441D">
        <w:rPr>
          <w:rFonts w:ascii="Titillium Web" w:eastAsia="Verdana" w:hAnsi="Titillium Web" w:cs="Verdana"/>
          <w:color w:val="auto"/>
          <w:sz w:val="24"/>
          <w:szCs w:val="24"/>
        </w:rPr>
        <w:t>l professionista si obbliga a comunicare le giornate in cui assicura la propria attività con anticipo ed entro il giorno 22 del mese precedente.</w:t>
      </w:r>
    </w:p>
    <w:p w14:paraId="62F66F0F" w14:textId="5A73E7B3" w:rsidR="00196C8A" w:rsidRPr="00196C8A" w:rsidRDefault="00196C8A" w:rsidP="00196C8A">
      <w:pPr>
        <w:spacing w:after="248" w:line="268" w:lineRule="auto"/>
        <w:jc w:val="both"/>
        <w:rPr>
          <w:rFonts w:ascii="Titillium Web" w:hAnsi="Titillium Web"/>
          <w:color w:val="auto"/>
          <w:sz w:val="24"/>
          <w:szCs w:val="24"/>
        </w:rPr>
      </w:pPr>
      <w:r w:rsidRPr="00196C8A">
        <w:rPr>
          <w:rFonts w:ascii="Titillium Web" w:eastAsia="Verdana" w:hAnsi="Titillium Web" w:cs="Verdana"/>
          <w:color w:val="auto"/>
          <w:sz w:val="24"/>
          <w:szCs w:val="24"/>
        </w:rPr>
        <w:t>Il numero di visite di controllo giornaliere da eseguire nelle fasce di reperibilità è, di regola, pari a 6 visite al giorno (3 per fascia), incrementabile, in caso di necessità di aumentare il numero complessivo di visite, a 8 visite al giorno (4 per ciascuna fascia).</w:t>
      </w:r>
    </w:p>
    <w:p w14:paraId="669E5647" w14:textId="69EF28BA" w:rsidR="00676F85" w:rsidRPr="00192776" w:rsidRDefault="00FB55F2">
      <w:pPr>
        <w:spacing w:after="248" w:line="268" w:lineRule="auto"/>
        <w:ind w:hanging="10"/>
        <w:jc w:val="both"/>
        <w:rPr>
          <w:rFonts w:ascii="Titillium Web" w:hAnsi="Titillium Web"/>
          <w:sz w:val="24"/>
          <w:szCs w:val="24"/>
        </w:rPr>
      </w:pPr>
      <w:r w:rsidRPr="00192776">
        <w:rPr>
          <w:rFonts w:ascii="Titillium Web" w:eastAsia="Verdana" w:hAnsi="Titillium Web" w:cs="Verdana"/>
          <w:sz w:val="24"/>
          <w:szCs w:val="24"/>
        </w:rPr>
        <w:t xml:space="preserve">Per l’espletamento dell’attività istituzionale il medico fiscale è tenuto ad avvalersi degli strumenti informatici messi a disposizione dall’Ente. È eccezionalmente ammesso il ricorso al supporto cartaceo per eventuali malfunzionamenti del servizio o disfunzione accertata degli strumenti informatici. </w:t>
      </w:r>
    </w:p>
    <w:p w14:paraId="17C27CD2" w14:textId="2D414F60" w:rsidR="00037E9C" w:rsidRDefault="00FB55F2" w:rsidP="00037E9C">
      <w:pPr>
        <w:spacing w:after="249" w:line="267" w:lineRule="auto"/>
        <w:ind w:hanging="10"/>
        <w:jc w:val="both"/>
        <w:rPr>
          <w:rFonts w:ascii="Titillium Web" w:eastAsia="Verdana" w:hAnsi="Titillium Web" w:cs="Verdana"/>
          <w:sz w:val="24"/>
          <w:szCs w:val="24"/>
        </w:rPr>
      </w:pPr>
      <w:r w:rsidRPr="00192776">
        <w:rPr>
          <w:rFonts w:ascii="Titillium Web" w:eastAsia="Verdana" w:hAnsi="Titillium Web" w:cs="Verdana"/>
          <w:sz w:val="24"/>
          <w:szCs w:val="24"/>
        </w:rPr>
        <w:t xml:space="preserve">L’incarico di cui al presente contratto non può essere </w:t>
      </w:r>
      <w:r w:rsidR="00037E9C" w:rsidRPr="00192776">
        <w:rPr>
          <w:rFonts w:ascii="Titillium Web" w:eastAsia="Verdana" w:hAnsi="Titillium Web" w:cs="Verdana"/>
          <w:sz w:val="24"/>
          <w:szCs w:val="24"/>
        </w:rPr>
        <w:t xml:space="preserve">conferito </w:t>
      </w:r>
      <w:r w:rsidRPr="00192776">
        <w:rPr>
          <w:rFonts w:ascii="Titillium Web" w:eastAsia="Verdana" w:hAnsi="Titillium Web" w:cs="Verdana"/>
          <w:sz w:val="24"/>
          <w:szCs w:val="24"/>
        </w:rPr>
        <w:t xml:space="preserve">al medico fiscale che si trovi in una </w:t>
      </w:r>
      <w:r w:rsidR="00DF598D" w:rsidRPr="00192776">
        <w:rPr>
          <w:rFonts w:ascii="Titillium Web" w:eastAsia="Verdana" w:hAnsi="Titillium Web" w:cs="Verdana"/>
          <w:sz w:val="24"/>
          <w:szCs w:val="24"/>
        </w:rPr>
        <w:t>delle seguenti</w:t>
      </w:r>
      <w:r w:rsidR="00037E9C" w:rsidRPr="00192776">
        <w:rPr>
          <w:rFonts w:ascii="Titillium Web" w:eastAsia="Verdana" w:hAnsi="Titillium Web" w:cs="Verdana"/>
          <w:sz w:val="24"/>
          <w:szCs w:val="24"/>
        </w:rPr>
        <w:t xml:space="preserve"> nelle seguenti condizioni</w:t>
      </w:r>
      <w:r w:rsidR="0056661A">
        <w:rPr>
          <w:rFonts w:ascii="Titillium Web" w:eastAsia="Verdana" w:hAnsi="Titillium Web" w:cs="Verdana"/>
          <w:sz w:val="24"/>
          <w:szCs w:val="24"/>
        </w:rPr>
        <w:t xml:space="preserve"> di incompatibilità/inconferibilità</w:t>
      </w:r>
      <w:r w:rsidR="00037E9C" w:rsidRPr="00192776">
        <w:rPr>
          <w:rFonts w:ascii="Titillium Web" w:eastAsia="Verdana" w:hAnsi="Titillium Web" w:cs="Verdana"/>
          <w:sz w:val="24"/>
          <w:szCs w:val="24"/>
        </w:rPr>
        <w:t xml:space="preserve">: </w:t>
      </w:r>
    </w:p>
    <w:p w14:paraId="1B3B37FE" w14:textId="77777777" w:rsidR="00037E9C" w:rsidRPr="00037E9C" w:rsidRDefault="00037E9C" w:rsidP="00037E9C">
      <w:pPr>
        <w:numPr>
          <w:ilvl w:val="0"/>
          <w:numId w:val="4"/>
        </w:numPr>
        <w:spacing w:after="249" w:line="267" w:lineRule="auto"/>
        <w:jc w:val="both"/>
        <w:rPr>
          <w:rFonts w:ascii="Titillium Web" w:eastAsia="Verdana" w:hAnsi="Titillium Web" w:cs="Verdana"/>
          <w:sz w:val="24"/>
          <w:szCs w:val="24"/>
        </w:rPr>
      </w:pPr>
      <w:r w:rsidRPr="00037E9C">
        <w:rPr>
          <w:rFonts w:ascii="Titillium Web" w:eastAsia="Verdana" w:hAnsi="Titillium Web" w:cs="Verdana"/>
          <w:sz w:val="24"/>
          <w:szCs w:val="24"/>
        </w:rPr>
        <w:t>età anagrafica pari o superiore a 72 anni;</w:t>
      </w:r>
    </w:p>
    <w:p w14:paraId="49DFCB7D" w14:textId="77777777" w:rsidR="00037E9C" w:rsidRPr="00037E9C" w:rsidRDefault="00037E9C" w:rsidP="00037E9C">
      <w:pPr>
        <w:numPr>
          <w:ilvl w:val="0"/>
          <w:numId w:val="4"/>
        </w:numPr>
        <w:spacing w:after="249" w:line="267" w:lineRule="auto"/>
        <w:jc w:val="both"/>
        <w:rPr>
          <w:rFonts w:ascii="Titillium Web" w:eastAsia="Verdana" w:hAnsi="Titillium Web" w:cs="Verdana"/>
          <w:sz w:val="24"/>
          <w:szCs w:val="24"/>
        </w:rPr>
      </w:pPr>
      <w:r w:rsidRPr="00037E9C">
        <w:rPr>
          <w:rFonts w:ascii="Titillium Web" w:eastAsia="Verdana" w:hAnsi="Titillium Web" w:cs="Verdana"/>
          <w:sz w:val="24"/>
          <w:szCs w:val="24"/>
        </w:rPr>
        <w:t>trovarsi in una qualsiasi posizione non compatibile per specifiche norme di legge, regolamentari o di contratto di lavoro;</w:t>
      </w:r>
    </w:p>
    <w:p w14:paraId="298E4770" w14:textId="77777777" w:rsidR="00037E9C" w:rsidRPr="00037E9C" w:rsidRDefault="00037E9C" w:rsidP="00037E9C">
      <w:pPr>
        <w:numPr>
          <w:ilvl w:val="0"/>
          <w:numId w:val="4"/>
        </w:numPr>
        <w:spacing w:after="249" w:line="267" w:lineRule="auto"/>
        <w:jc w:val="both"/>
        <w:rPr>
          <w:rFonts w:ascii="Titillium Web" w:eastAsia="Verdana" w:hAnsi="Titillium Web" w:cs="Verdana"/>
          <w:sz w:val="24"/>
          <w:szCs w:val="24"/>
        </w:rPr>
      </w:pPr>
      <w:r w:rsidRPr="00037E9C">
        <w:rPr>
          <w:rFonts w:ascii="Titillium Web" w:eastAsia="Verdana" w:hAnsi="Titillium Web" w:cs="Verdana"/>
          <w:sz w:val="24"/>
          <w:szCs w:val="24"/>
        </w:rPr>
        <w:t>esercizio dell’attività di CTU o CTP, ovvero consulenze medico-legali, per conto e nell’interesse di terzi, in procedimenti che configurino conflitto di interessi con l’INPS;</w:t>
      </w:r>
    </w:p>
    <w:p w14:paraId="52576309" w14:textId="77777777" w:rsidR="00037E9C" w:rsidRPr="00037E9C" w:rsidRDefault="00037E9C" w:rsidP="00037E9C">
      <w:pPr>
        <w:numPr>
          <w:ilvl w:val="0"/>
          <w:numId w:val="4"/>
        </w:numPr>
        <w:spacing w:after="249" w:line="267" w:lineRule="auto"/>
        <w:jc w:val="both"/>
        <w:rPr>
          <w:rFonts w:ascii="Titillium Web" w:eastAsia="Verdana" w:hAnsi="Titillium Web" w:cs="Verdana"/>
          <w:sz w:val="24"/>
          <w:szCs w:val="24"/>
        </w:rPr>
      </w:pPr>
      <w:r w:rsidRPr="00037E9C">
        <w:rPr>
          <w:rFonts w:ascii="Titillium Web" w:eastAsia="Verdana" w:hAnsi="Titillium Web" w:cs="Verdana"/>
          <w:sz w:val="24"/>
          <w:szCs w:val="24"/>
        </w:rPr>
        <w:t>essere stato destinatario di condanne penali, con sentenza passata in giudicato, per reati per i quali è prevista l’interdizione perpetua dai pubblici uffici ovvero l’estinzione, comunque denominata, del rapporto di lavoro;</w:t>
      </w:r>
    </w:p>
    <w:p w14:paraId="7D7F37D1" w14:textId="77777777" w:rsidR="00037E9C" w:rsidRPr="00037E9C" w:rsidRDefault="00037E9C" w:rsidP="00037E9C">
      <w:pPr>
        <w:numPr>
          <w:ilvl w:val="0"/>
          <w:numId w:val="4"/>
        </w:numPr>
        <w:spacing w:after="249" w:line="267" w:lineRule="auto"/>
        <w:jc w:val="both"/>
        <w:rPr>
          <w:rFonts w:ascii="Titillium Web" w:eastAsia="Verdana" w:hAnsi="Titillium Web" w:cs="Verdana"/>
          <w:sz w:val="24"/>
          <w:szCs w:val="24"/>
        </w:rPr>
      </w:pPr>
      <w:r w:rsidRPr="00037E9C">
        <w:rPr>
          <w:rFonts w:ascii="Titillium Web" w:eastAsia="Verdana" w:hAnsi="Titillium Web" w:cs="Verdana"/>
          <w:sz w:val="24"/>
          <w:szCs w:val="24"/>
        </w:rPr>
        <w:t>prestare la propria attività in INPS in qualità di medico esterno, medico convenzionato ACN e medico specialista.</w:t>
      </w:r>
    </w:p>
    <w:p w14:paraId="1338AE70" w14:textId="044C6367" w:rsidR="00676F85" w:rsidRPr="00192776" w:rsidRDefault="00FB55F2" w:rsidP="00696935">
      <w:pPr>
        <w:spacing w:after="0" w:line="240" w:lineRule="auto"/>
        <w:ind w:left="374" w:right="4" w:hanging="11"/>
        <w:jc w:val="center"/>
        <w:rPr>
          <w:rFonts w:ascii="Titillium Web" w:hAnsi="Titillium Web"/>
          <w:sz w:val="24"/>
          <w:szCs w:val="24"/>
        </w:rPr>
      </w:pPr>
      <w:r w:rsidRPr="00192776">
        <w:rPr>
          <w:rFonts w:ascii="Titillium Web" w:eastAsia="Verdana" w:hAnsi="Titillium Web" w:cs="Verdana"/>
          <w:b/>
          <w:sz w:val="24"/>
          <w:szCs w:val="24"/>
        </w:rPr>
        <w:t xml:space="preserve">Art. 3 </w:t>
      </w:r>
    </w:p>
    <w:p w14:paraId="0088B7DD" w14:textId="5A862929" w:rsidR="00676F85" w:rsidRPr="00192776" w:rsidRDefault="00FB55F2" w:rsidP="00696935">
      <w:pPr>
        <w:pStyle w:val="Titolo2"/>
        <w:spacing w:after="0" w:line="240" w:lineRule="auto"/>
        <w:ind w:left="374" w:right="2" w:hanging="11"/>
        <w:rPr>
          <w:rFonts w:ascii="Titillium Web" w:hAnsi="Titillium Web"/>
          <w:sz w:val="24"/>
          <w:szCs w:val="24"/>
        </w:rPr>
      </w:pPr>
      <w:r w:rsidRPr="00192776">
        <w:rPr>
          <w:rFonts w:ascii="Titillium Web" w:hAnsi="Titillium Web"/>
          <w:sz w:val="24"/>
          <w:szCs w:val="24"/>
        </w:rPr>
        <w:t>Compensi</w:t>
      </w:r>
    </w:p>
    <w:p w14:paraId="18023D1B" w14:textId="34030018" w:rsidR="00676F85" w:rsidRPr="00192776" w:rsidRDefault="00ED0BAF">
      <w:pPr>
        <w:spacing w:after="248" w:line="268" w:lineRule="auto"/>
        <w:ind w:hanging="10"/>
        <w:jc w:val="both"/>
        <w:rPr>
          <w:rFonts w:ascii="Titillium Web" w:hAnsi="Titillium Web"/>
          <w:sz w:val="24"/>
          <w:szCs w:val="24"/>
        </w:rPr>
      </w:pPr>
      <w:r>
        <w:rPr>
          <w:rFonts w:ascii="Titillium Web" w:eastAsia="Verdana" w:hAnsi="Titillium Web" w:cs="Verdana"/>
          <w:sz w:val="24"/>
          <w:szCs w:val="24"/>
        </w:rPr>
        <w:t>Per l’attività svolta</w:t>
      </w:r>
      <w:r w:rsidR="00FB55F2" w:rsidRPr="00192776">
        <w:rPr>
          <w:rFonts w:ascii="Titillium Web" w:eastAsia="Verdana" w:hAnsi="Titillium Web" w:cs="Verdana"/>
          <w:sz w:val="24"/>
          <w:szCs w:val="24"/>
        </w:rPr>
        <w:t xml:space="preserve"> è </w:t>
      </w:r>
      <w:r>
        <w:rPr>
          <w:rFonts w:ascii="Titillium Web" w:eastAsia="Verdana" w:hAnsi="Titillium Web" w:cs="Verdana"/>
          <w:sz w:val="24"/>
          <w:szCs w:val="24"/>
        </w:rPr>
        <w:t>riconosciuto</w:t>
      </w:r>
      <w:r w:rsidR="00FB55F2" w:rsidRPr="00192776">
        <w:rPr>
          <w:rFonts w:ascii="Titillium Web" w:eastAsia="Verdana" w:hAnsi="Titillium Web" w:cs="Verdana"/>
          <w:sz w:val="24"/>
          <w:szCs w:val="24"/>
        </w:rPr>
        <w:t xml:space="preserve"> un</w:t>
      </w:r>
      <w:r>
        <w:rPr>
          <w:rFonts w:ascii="Titillium Web" w:eastAsia="Verdana" w:hAnsi="Titillium Web" w:cs="Verdana"/>
          <w:sz w:val="24"/>
          <w:szCs w:val="24"/>
        </w:rPr>
        <w:t xml:space="preserve"> compenso </w:t>
      </w:r>
      <w:r w:rsidR="00FB55F2" w:rsidRPr="00192776">
        <w:rPr>
          <w:rFonts w:ascii="Titillium Web" w:eastAsia="Verdana" w:hAnsi="Titillium Web" w:cs="Verdana"/>
          <w:sz w:val="24"/>
          <w:szCs w:val="24"/>
        </w:rPr>
        <w:t>fiss</w:t>
      </w:r>
      <w:r>
        <w:rPr>
          <w:rFonts w:ascii="Titillium Web" w:eastAsia="Verdana" w:hAnsi="Titillium Web" w:cs="Verdana"/>
          <w:sz w:val="24"/>
          <w:szCs w:val="24"/>
        </w:rPr>
        <w:t>o</w:t>
      </w:r>
      <w:r w:rsidR="00FB55F2" w:rsidRPr="00192776">
        <w:rPr>
          <w:rFonts w:ascii="Titillium Web" w:eastAsia="Verdana" w:hAnsi="Titillium Web" w:cs="Verdana"/>
          <w:sz w:val="24"/>
          <w:szCs w:val="24"/>
        </w:rPr>
        <w:t xml:space="preserve"> di reperibilità</w:t>
      </w:r>
      <w:r w:rsidR="004B7167">
        <w:rPr>
          <w:rFonts w:ascii="Titillium Web" w:eastAsia="Verdana" w:hAnsi="Titillium Web" w:cs="Verdana"/>
          <w:sz w:val="24"/>
          <w:szCs w:val="24"/>
        </w:rPr>
        <w:t xml:space="preserve"> giornaliera</w:t>
      </w:r>
      <w:r w:rsidR="00CF5562">
        <w:rPr>
          <w:rFonts w:ascii="Titillium Web" w:eastAsia="Verdana" w:hAnsi="Titillium Web" w:cs="Verdana"/>
          <w:sz w:val="24"/>
          <w:szCs w:val="24"/>
        </w:rPr>
        <w:t>,</w:t>
      </w:r>
      <w:r w:rsidR="00C42922">
        <w:rPr>
          <w:rFonts w:ascii="Titillium Web" w:eastAsia="Verdana" w:hAnsi="Titillium Web" w:cs="Verdana"/>
          <w:sz w:val="24"/>
          <w:szCs w:val="24"/>
        </w:rPr>
        <w:t xml:space="preserve"> </w:t>
      </w:r>
      <w:r w:rsidR="004B7167">
        <w:rPr>
          <w:rFonts w:ascii="Titillium Web" w:eastAsia="Verdana" w:hAnsi="Titillium Web" w:cs="Verdana"/>
          <w:sz w:val="24"/>
          <w:szCs w:val="24"/>
        </w:rPr>
        <w:t xml:space="preserve">riferita </w:t>
      </w:r>
      <w:r w:rsidR="00C42922">
        <w:rPr>
          <w:rFonts w:ascii="Titillium Web" w:eastAsia="Verdana" w:hAnsi="Titillium Web" w:cs="Verdana"/>
          <w:sz w:val="24"/>
          <w:szCs w:val="24"/>
        </w:rPr>
        <w:t xml:space="preserve">ai giorni </w:t>
      </w:r>
      <w:r w:rsidR="00AD2C81">
        <w:rPr>
          <w:rFonts w:ascii="Titillium Web" w:eastAsia="Verdana" w:hAnsi="Titillium Web" w:cs="Verdana"/>
          <w:sz w:val="24"/>
          <w:szCs w:val="24"/>
        </w:rPr>
        <w:t>nei quali viene prestata l’attività professionale</w:t>
      </w:r>
      <w:r w:rsidR="00FB55F2" w:rsidRPr="00192776">
        <w:rPr>
          <w:rFonts w:ascii="Titillium Web" w:eastAsia="Verdana" w:hAnsi="Titillium Web" w:cs="Verdana"/>
          <w:sz w:val="24"/>
          <w:szCs w:val="24"/>
        </w:rPr>
        <w:t xml:space="preserve">, </w:t>
      </w:r>
      <w:r>
        <w:rPr>
          <w:rFonts w:ascii="Titillium Web" w:eastAsia="Verdana" w:hAnsi="Titillium Web" w:cs="Verdana"/>
          <w:sz w:val="24"/>
          <w:szCs w:val="24"/>
        </w:rPr>
        <w:t xml:space="preserve">e </w:t>
      </w:r>
      <w:r w:rsidR="00FB55F2" w:rsidRPr="00192776">
        <w:rPr>
          <w:rFonts w:ascii="Titillium Web" w:eastAsia="Verdana" w:hAnsi="Titillium Web" w:cs="Verdana"/>
          <w:sz w:val="24"/>
          <w:szCs w:val="24"/>
        </w:rPr>
        <w:t>compensi per le visite mediche di controllo/accessi domiciliari effettuati</w:t>
      </w:r>
      <w:r w:rsidR="00970595">
        <w:rPr>
          <w:rFonts w:ascii="Titillium Web" w:eastAsia="Verdana" w:hAnsi="Titillium Web" w:cs="Verdana"/>
          <w:sz w:val="24"/>
          <w:szCs w:val="24"/>
        </w:rPr>
        <w:t xml:space="preserve"> e </w:t>
      </w:r>
      <w:r>
        <w:rPr>
          <w:rFonts w:ascii="Titillium Web" w:eastAsia="Verdana" w:hAnsi="Titillium Web" w:cs="Verdana"/>
          <w:sz w:val="24"/>
          <w:szCs w:val="24"/>
        </w:rPr>
        <w:t>per l’</w:t>
      </w:r>
      <w:r w:rsidR="00970595">
        <w:rPr>
          <w:rFonts w:ascii="Titillium Web" w:eastAsia="Verdana" w:hAnsi="Titillium Web" w:cs="Verdana"/>
          <w:sz w:val="24"/>
          <w:szCs w:val="24"/>
        </w:rPr>
        <w:t>attività ambulatoriale</w:t>
      </w:r>
      <w:r w:rsidR="00FB55F2" w:rsidRPr="00192776">
        <w:rPr>
          <w:rFonts w:ascii="Titillium Web" w:eastAsia="Verdana" w:hAnsi="Titillium Web" w:cs="Verdana"/>
          <w:sz w:val="24"/>
          <w:szCs w:val="24"/>
        </w:rPr>
        <w:t xml:space="preserve">. </w:t>
      </w:r>
    </w:p>
    <w:p w14:paraId="28EEE18B" w14:textId="3F56321E" w:rsidR="00676F85" w:rsidRPr="00192776" w:rsidRDefault="00FB55F2">
      <w:pPr>
        <w:spacing w:after="248" w:line="268" w:lineRule="auto"/>
        <w:ind w:hanging="10"/>
        <w:jc w:val="both"/>
        <w:rPr>
          <w:rFonts w:ascii="Titillium Web" w:hAnsi="Titillium Web"/>
          <w:sz w:val="24"/>
          <w:szCs w:val="24"/>
        </w:rPr>
      </w:pPr>
      <w:r w:rsidRPr="00192776">
        <w:rPr>
          <w:rFonts w:ascii="Titillium Web" w:eastAsia="Verdana" w:hAnsi="Titillium Web" w:cs="Verdana"/>
          <w:sz w:val="24"/>
          <w:szCs w:val="24"/>
        </w:rPr>
        <w:t>Il compenso</w:t>
      </w:r>
      <w:r w:rsidR="004B7167">
        <w:rPr>
          <w:rFonts w:ascii="Titillium Web" w:eastAsia="Verdana" w:hAnsi="Titillium Web" w:cs="Verdana"/>
          <w:sz w:val="24"/>
          <w:szCs w:val="24"/>
        </w:rPr>
        <w:t xml:space="preserve"> giornaliero</w:t>
      </w:r>
      <w:r w:rsidRPr="00192776">
        <w:rPr>
          <w:rFonts w:ascii="Titillium Web" w:eastAsia="Verdana" w:hAnsi="Titillium Web" w:cs="Verdana"/>
          <w:sz w:val="24"/>
          <w:szCs w:val="24"/>
        </w:rPr>
        <w:t>, per la reperibilità su entrambe le fasce</w:t>
      </w:r>
      <w:r w:rsidR="00ED0BAF">
        <w:rPr>
          <w:rFonts w:ascii="Titillium Web" w:eastAsia="Verdana" w:hAnsi="Titillium Web" w:cs="Verdana"/>
          <w:sz w:val="24"/>
          <w:szCs w:val="24"/>
        </w:rPr>
        <w:t>,</w:t>
      </w:r>
      <w:r w:rsidRPr="00192776">
        <w:rPr>
          <w:rFonts w:ascii="Titillium Web" w:eastAsia="Verdana" w:hAnsi="Titillium Web" w:cs="Verdana"/>
          <w:sz w:val="24"/>
          <w:szCs w:val="24"/>
        </w:rPr>
        <w:t xml:space="preserve"> è fissato in </w:t>
      </w:r>
      <w:r w:rsidR="004B7167" w:rsidRPr="00CE3684">
        <w:rPr>
          <w:rFonts w:ascii="Titillium Web" w:eastAsia="Verdana" w:hAnsi="Titillium Web" w:cs="Verdana"/>
          <w:sz w:val="24"/>
          <w:szCs w:val="24"/>
        </w:rPr>
        <w:t>82,</w:t>
      </w:r>
      <w:r w:rsidR="007E0B32" w:rsidRPr="00CE3684">
        <w:rPr>
          <w:rFonts w:ascii="Titillium Web" w:eastAsia="Verdana" w:hAnsi="Titillium Web" w:cs="Verdana"/>
          <w:sz w:val="24"/>
          <w:szCs w:val="24"/>
        </w:rPr>
        <w:t xml:space="preserve">99 </w:t>
      </w:r>
      <w:r w:rsidRPr="00CE3684">
        <w:rPr>
          <w:rFonts w:ascii="Titillium Web" w:eastAsia="Verdana" w:hAnsi="Titillium Web" w:cs="Verdana"/>
          <w:sz w:val="24"/>
          <w:szCs w:val="24"/>
        </w:rPr>
        <w:t>euro</w:t>
      </w:r>
      <w:r w:rsidRPr="00192776">
        <w:rPr>
          <w:rFonts w:ascii="Titillium Web" w:eastAsia="Verdana" w:hAnsi="Titillium Web" w:cs="Verdana"/>
          <w:sz w:val="24"/>
          <w:szCs w:val="24"/>
        </w:rPr>
        <w:t xml:space="preserve">. Per la reperibilità su una sola fascia giornaliera, è fissato in </w:t>
      </w:r>
      <w:r w:rsidR="004B7167" w:rsidRPr="00CE3684">
        <w:rPr>
          <w:rFonts w:ascii="Titillium Web" w:eastAsia="Verdana" w:hAnsi="Titillium Web" w:cs="Verdana"/>
          <w:sz w:val="24"/>
          <w:szCs w:val="24"/>
        </w:rPr>
        <w:t>41,</w:t>
      </w:r>
      <w:r w:rsidR="007E0B32" w:rsidRPr="00CE3684">
        <w:rPr>
          <w:rFonts w:ascii="Titillium Web" w:eastAsia="Verdana" w:hAnsi="Titillium Web" w:cs="Verdana"/>
          <w:sz w:val="24"/>
          <w:szCs w:val="24"/>
        </w:rPr>
        <w:t xml:space="preserve">49 </w:t>
      </w:r>
      <w:r w:rsidRPr="00CE3684">
        <w:rPr>
          <w:rFonts w:ascii="Titillium Web" w:eastAsia="Verdana" w:hAnsi="Titillium Web" w:cs="Verdana"/>
          <w:sz w:val="24"/>
          <w:szCs w:val="24"/>
        </w:rPr>
        <w:t>euro.</w:t>
      </w:r>
      <w:r w:rsidRPr="00192776">
        <w:rPr>
          <w:rFonts w:ascii="Titillium Web" w:eastAsia="Verdana" w:hAnsi="Titillium Web" w:cs="Verdana"/>
          <w:sz w:val="24"/>
          <w:szCs w:val="24"/>
        </w:rPr>
        <w:t xml:space="preserve"> </w:t>
      </w:r>
    </w:p>
    <w:p w14:paraId="6F4F6154" w14:textId="3385B8C2" w:rsidR="00676F85" w:rsidRPr="00192776" w:rsidRDefault="00FB55F2">
      <w:pPr>
        <w:spacing w:after="248" w:line="268" w:lineRule="auto"/>
        <w:ind w:hanging="10"/>
        <w:jc w:val="both"/>
        <w:rPr>
          <w:rFonts w:ascii="Titillium Web" w:hAnsi="Titillium Web"/>
          <w:sz w:val="24"/>
          <w:szCs w:val="24"/>
        </w:rPr>
      </w:pPr>
      <w:r w:rsidRPr="00192776">
        <w:rPr>
          <w:rFonts w:ascii="Titillium Web" w:eastAsia="Verdana" w:hAnsi="Titillium Web" w:cs="Verdana"/>
          <w:sz w:val="24"/>
          <w:szCs w:val="24"/>
        </w:rPr>
        <w:t>In aggiunta al compenso</w:t>
      </w:r>
      <w:r w:rsidR="005D07CC">
        <w:rPr>
          <w:rFonts w:ascii="Titillium Web" w:eastAsia="Verdana" w:hAnsi="Titillium Web" w:cs="Verdana"/>
          <w:sz w:val="24"/>
          <w:szCs w:val="24"/>
        </w:rPr>
        <w:t xml:space="preserve"> fisso</w:t>
      </w:r>
      <w:r w:rsidRPr="00192776">
        <w:rPr>
          <w:rFonts w:ascii="Titillium Web" w:eastAsia="Verdana" w:hAnsi="Titillium Web" w:cs="Verdana"/>
          <w:sz w:val="24"/>
          <w:szCs w:val="24"/>
        </w:rPr>
        <w:t xml:space="preserve"> di reperibilità</w:t>
      </w:r>
      <w:r w:rsidR="005D07CC" w:rsidRPr="005D07CC">
        <w:rPr>
          <w:rFonts w:ascii="Titillium Web" w:eastAsia="Verdana" w:hAnsi="Titillium Web" w:cs="Verdana"/>
          <w:sz w:val="24"/>
          <w:szCs w:val="24"/>
        </w:rPr>
        <w:t xml:space="preserve"> </w:t>
      </w:r>
      <w:r w:rsidR="005D07CC">
        <w:rPr>
          <w:rFonts w:ascii="Titillium Web" w:eastAsia="Verdana" w:hAnsi="Titillium Web" w:cs="Verdana"/>
          <w:sz w:val="24"/>
          <w:szCs w:val="24"/>
        </w:rPr>
        <w:t>giornalier</w:t>
      </w:r>
      <w:r w:rsidR="0051225E">
        <w:rPr>
          <w:rFonts w:ascii="Titillium Web" w:eastAsia="Verdana" w:hAnsi="Titillium Web" w:cs="Verdana"/>
          <w:sz w:val="24"/>
          <w:szCs w:val="24"/>
        </w:rPr>
        <w:t>a</w:t>
      </w:r>
      <w:r w:rsidRPr="00192776">
        <w:rPr>
          <w:rFonts w:ascii="Titillium Web" w:eastAsia="Verdana" w:hAnsi="Titillium Web" w:cs="Verdana"/>
          <w:sz w:val="24"/>
          <w:szCs w:val="24"/>
        </w:rPr>
        <w:t xml:space="preserve">, il compenso per le visite domiciliari è pari a 25,00 euro per la visita domiciliare feriale, 31,69 euro per la visita domiciliare festiva, 16,97 euro per l’accesso domiciliare feriale, 23,76 euro per l’accesso domiciliare festivo. </w:t>
      </w:r>
    </w:p>
    <w:p w14:paraId="5355D52E" w14:textId="262A82FA" w:rsidR="00676F85" w:rsidRPr="00192776" w:rsidRDefault="00FB55F2">
      <w:pPr>
        <w:spacing w:after="248" w:line="268" w:lineRule="auto"/>
        <w:ind w:hanging="10"/>
        <w:jc w:val="both"/>
        <w:rPr>
          <w:rFonts w:ascii="Titillium Web" w:hAnsi="Titillium Web"/>
          <w:sz w:val="24"/>
          <w:szCs w:val="24"/>
        </w:rPr>
      </w:pPr>
      <w:r w:rsidRPr="00192776">
        <w:rPr>
          <w:rFonts w:ascii="Titillium Web" w:eastAsia="Verdana" w:hAnsi="Titillium Web" w:cs="Verdana"/>
          <w:sz w:val="24"/>
          <w:szCs w:val="24"/>
        </w:rPr>
        <w:t>Per ciascuna fascia in cui il medico fiscale svolge attività ambulatoriale presso la sede I</w:t>
      </w:r>
      <w:r w:rsidR="00211AE9">
        <w:rPr>
          <w:rFonts w:ascii="Titillium Web" w:eastAsia="Verdana" w:hAnsi="Titillium Web" w:cs="Verdana"/>
          <w:sz w:val="24"/>
          <w:szCs w:val="24"/>
        </w:rPr>
        <w:t xml:space="preserve">NPS </w:t>
      </w:r>
      <w:r w:rsidRPr="00192776">
        <w:rPr>
          <w:rFonts w:ascii="Titillium Web" w:eastAsia="Verdana" w:hAnsi="Titillium Web" w:cs="Verdana"/>
          <w:sz w:val="24"/>
          <w:szCs w:val="24"/>
        </w:rPr>
        <w:t xml:space="preserve">di pertinenza, è riconosciuto un compenso di 75,00 euro. </w:t>
      </w:r>
    </w:p>
    <w:p w14:paraId="3F8D5193" w14:textId="77777777" w:rsidR="001552FF" w:rsidRPr="00192776" w:rsidRDefault="00FB55F2" w:rsidP="00A57DCD">
      <w:pPr>
        <w:spacing w:after="0" w:line="268" w:lineRule="auto"/>
        <w:ind w:hanging="10"/>
        <w:jc w:val="both"/>
        <w:rPr>
          <w:rFonts w:ascii="Titillium Web" w:eastAsia="Verdana" w:hAnsi="Titillium Web" w:cs="Verdana"/>
          <w:sz w:val="24"/>
          <w:szCs w:val="24"/>
        </w:rPr>
      </w:pPr>
      <w:r w:rsidRPr="00192776">
        <w:rPr>
          <w:rFonts w:ascii="Titillium Web" w:eastAsia="Verdana" w:hAnsi="Titillium Web" w:cs="Verdana"/>
          <w:sz w:val="24"/>
          <w:szCs w:val="24"/>
        </w:rPr>
        <w:t>Per i percorsi effettuati per l’esecuzione di tutte le visite mediche domiciliari sono inoltre dovuti al medico, a titolo di indennizzo per i costi di carburante e l’usura del mezzo, rimborsi nella misura di un quinto del costo di un litro di benzina per chilometro percorso, come rilevato sul sito web ufficiale dell’ACI.</w:t>
      </w:r>
    </w:p>
    <w:p w14:paraId="0AC80FEB" w14:textId="3D8ED424" w:rsidR="00676F85" w:rsidRPr="00192776" w:rsidRDefault="00FB55F2" w:rsidP="00A57DCD">
      <w:pPr>
        <w:spacing w:line="268" w:lineRule="auto"/>
        <w:ind w:hanging="10"/>
        <w:jc w:val="both"/>
        <w:rPr>
          <w:rFonts w:ascii="Titillium Web" w:hAnsi="Titillium Web"/>
          <w:sz w:val="24"/>
          <w:szCs w:val="24"/>
        </w:rPr>
      </w:pPr>
      <w:r w:rsidRPr="00192776">
        <w:rPr>
          <w:rFonts w:ascii="Titillium Web" w:eastAsia="Verdana" w:hAnsi="Titillium Web" w:cs="Verdana"/>
          <w:sz w:val="24"/>
          <w:szCs w:val="24"/>
        </w:rPr>
        <w:t xml:space="preserve">I percorsi da prendere in considerazione, per recarsi al domicilio dei lavoratori da sottoporre a visita domiciliare, sono misurati a partire dalla residenza del medico, salvo il caso in cui tale residenza si trovi in provincia diversa da quella della sede INPS di assegnazione, nel qual caso i percorsi si misurano a partire dalla sede territorialmente competente dell’INPS. </w:t>
      </w:r>
    </w:p>
    <w:p w14:paraId="38177214" w14:textId="7068E2F4" w:rsidR="00676F85" w:rsidRPr="00192776" w:rsidRDefault="00FB55F2" w:rsidP="00A57DCD">
      <w:pPr>
        <w:spacing w:line="268" w:lineRule="auto"/>
        <w:ind w:hanging="10"/>
        <w:jc w:val="both"/>
        <w:rPr>
          <w:rFonts w:ascii="Titillium Web" w:hAnsi="Titillium Web"/>
          <w:sz w:val="24"/>
          <w:szCs w:val="24"/>
        </w:rPr>
      </w:pPr>
      <w:r w:rsidRPr="00192776">
        <w:rPr>
          <w:rFonts w:ascii="Titillium Web" w:eastAsia="Verdana" w:hAnsi="Titillium Web" w:cs="Verdana"/>
          <w:sz w:val="24"/>
          <w:szCs w:val="24"/>
        </w:rPr>
        <w:t xml:space="preserve">Qualora la visita medica di controllo sia da effettuare in isole nelle quali non sia reperibile in loco altro medico che possa effettuarla, anche in via eccezionale, con incarico occasionale, per le visite di cui trattasi è previsto il rimborso delle spese di traversata effettivamente sostenute e documentate secondo la tariffa «passeggero» dei mezzi navali di linea, nonché dell'eventuale uso di servizio pubblico di taxi nell'isola. Ulteriori rimborsi spese saranno ammessi e regolamentati anche per i casi di visite domiciliari in zone montane che limitino le possibilità del mezzo proprio ed invece impongano l’utilizzo di mezzi di trasporto particolari (ad esempio, funivia). </w:t>
      </w:r>
    </w:p>
    <w:p w14:paraId="76803C95" w14:textId="312EFE0F" w:rsidR="00676F85" w:rsidRDefault="00FB55F2">
      <w:pPr>
        <w:spacing w:after="248" w:line="268" w:lineRule="auto"/>
        <w:ind w:hanging="10"/>
        <w:jc w:val="both"/>
        <w:rPr>
          <w:rFonts w:ascii="Titillium Web" w:eastAsia="Verdana" w:hAnsi="Titillium Web" w:cs="Verdana"/>
          <w:sz w:val="24"/>
          <w:szCs w:val="24"/>
        </w:rPr>
      </w:pPr>
      <w:r w:rsidRPr="00145808">
        <w:rPr>
          <w:rFonts w:ascii="Titillium Web" w:eastAsia="Verdana" w:hAnsi="Titillium Web" w:cs="Verdana"/>
          <w:color w:val="auto"/>
          <w:sz w:val="24"/>
          <w:szCs w:val="24"/>
        </w:rPr>
        <w:t xml:space="preserve">Tutti i compensi sono al netto degli oneri riflessi a carico dell’INPS </w:t>
      </w:r>
      <w:r w:rsidR="00A04678" w:rsidRPr="00145808">
        <w:rPr>
          <w:rFonts w:ascii="Titillium Web" w:hAnsi="Titillium Web" w:cs="Times New Roman"/>
          <w:color w:val="auto"/>
          <w:sz w:val="24"/>
          <w:szCs w:val="24"/>
        </w:rPr>
        <w:t xml:space="preserve">pari al13,72 per cento </w:t>
      </w:r>
      <w:r w:rsidRPr="00145808">
        <w:rPr>
          <w:rFonts w:ascii="Titillium Web" w:eastAsia="Verdana" w:hAnsi="Titillium Web" w:cs="Verdana"/>
          <w:color w:val="auto"/>
          <w:sz w:val="24"/>
          <w:szCs w:val="24"/>
        </w:rPr>
        <w:t xml:space="preserve">e al lordo degli oneri previdenziali </w:t>
      </w:r>
      <w:r w:rsidR="00A04678" w:rsidRPr="00145808">
        <w:rPr>
          <w:rFonts w:ascii="Titillium Web" w:hAnsi="Titillium Web" w:cs="Times New Roman"/>
          <w:color w:val="auto"/>
          <w:sz w:val="24"/>
          <w:szCs w:val="24"/>
        </w:rPr>
        <w:t>(nella misura del 13</w:t>
      </w:r>
      <w:r w:rsidR="00EC2DBF" w:rsidRPr="00145808">
        <w:rPr>
          <w:rFonts w:ascii="Titillium Web" w:hAnsi="Titillium Web" w:cs="Times New Roman"/>
          <w:color w:val="auto"/>
          <w:sz w:val="24"/>
          <w:szCs w:val="24"/>
        </w:rPr>
        <w:t xml:space="preserve"> </w:t>
      </w:r>
      <w:r w:rsidR="00A04678" w:rsidRPr="00145808">
        <w:rPr>
          <w:rFonts w:ascii="Titillium Web" w:hAnsi="Titillium Web" w:cs="Times New Roman"/>
          <w:color w:val="auto"/>
          <w:sz w:val="24"/>
          <w:szCs w:val="24"/>
        </w:rPr>
        <w:t xml:space="preserve">per cento) </w:t>
      </w:r>
      <w:r w:rsidRPr="00145808">
        <w:rPr>
          <w:rFonts w:ascii="Titillium Web" w:eastAsia="Verdana" w:hAnsi="Titillium Web" w:cs="Verdana"/>
          <w:color w:val="auto"/>
          <w:sz w:val="24"/>
          <w:szCs w:val="24"/>
        </w:rPr>
        <w:t xml:space="preserve">e fiscali a carico del medico. </w:t>
      </w:r>
    </w:p>
    <w:p w14:paraId="4A8601B4" w14:textId="7ABEC530" w:rsidR="00613E62" w:rsidRPr="00192776" w:rsidRDefault="00613E62">
      <w:pPr>
        <w:spacing w:after="248" w:line="268" w:lineRule="auto"/>
        <w:ind w:hanging="10"/>
        <w:jc w:val="both"/>
        <w:rPr>
          <w:rFonts w:ascii="Titillium Web" w:hAnsi="Titillium Web"/>
          <w:sz w:val="24"/>
          <w:szCs w:val="24"/>
        </w:rPr>
      </w:pPr>
      <w:r w:rsidRPr="002D4567">
        <w:rPr>
          <w:rFonts w:ascii="Titillium Web" w:hAnsi="Titillium Web" w:cs="Times New Roman"/>
          <w:sz w:val="24"/>
          <w:szCs w:val="24"/>
        </w:rPr>
        <w:t xml:space="preserve">Il pagamento degli emolumenti avverrà </w:t>
      </w:r>
      <w:r>
        <w:rPr>
          <w:rFonts w:ascii="Titillium Web" w:hAnsi="Titillium Web" w:cs="Times New Roman"/>
          <w:sz w:val="24"/>
          <w:szCs w:val="24"/>
        </w:rPr>
        <w:t xml:space="preserve">con cadenza mensile, </w:t>
      </w:r>
      <w:r w:rsidRPr="002D4567">
        <w:rPr>
          <w:rFonts w:ascii="Titillium Web" w:hAnsi="Titillium Web" w:cs="Times New Roman"/>
          <w:sz w:val="24"/>
          <w:szCs w:val="24"/>
        </w:rPr>
        <w:t>mediante accreditamento sul conto corrente bancario intestato al medico</w:t>
      </w:r>
      <w:r>
        <w:rPr>
          <w:rFonts w:ascii="Titillium Web" w:hAnsi="Titillium Web" w:cs="Times New Roman"/>
          <w:sz w:val="24"/>
          <w:szCs w:val="24"/>
        </w:rPr>
        <w:t>.</w:t>
      </w:r>
    </w:p>
    <w:p w14:paraId="685F7DBD" w14:textId="77777777" w:rsidR="00877301" w:rsidRDefault="00877301" w:rsidP="00696935">
      <w:pPr>
        <w:spacing w:after="0" w:line="240" w:lineRule="auto"/>
        <w:ind w:left="432"/>
        <w:jc w:val="center"/>
        <w:rPr>
          <w:rFonts w:ascii="Titillium Web" w:eastAsia="Verdana" w:hAnsi="Titillium Web" w:cs="Verdana"/>
          <w:b/>
          <w:sz w:val="24"/>
          <w:szCs w:val="24"/>
        </w:rPr>
      </w:pPr>
    </w:p>
    <w:p w14:paraId="72B001B7" w14:textId="77777777" w:rsidR="00877301" w:rsidRDefault="00877301" w:rsidP="00696935">
      <w:pPr>
        <w:spacing w:after="0" w:line="240" w:lineRule="auto"/>
        <w:ind w:left="432"/>
        <w:jc w:val="center"/>
        <w:rPr>
          <w:rFonts w:ascii="Titillium Web" w:eastAsia="Verdana" w:hAnsi="Titillium Web" w:cs="Verdana"/>
          <w:b/>
          <w:sz w:val="24"/>
          <w:szCs w:val="24"/>
        </w:rPr>
      </w:pPr>
    </w:p>
    <w:p w14:paraId="194123C3" w14:textId="77777777" w:rsidR="00877301" w:rsidRDefault="00877301" w:rsidP="00696935">
      <w:pPr>
        <w:spacing w:after="0" w:line="240" w:lineRule="auto"/>
        <w:ind w:left="432"/>
        <w:jc w:val="center"/>
        <w:rPr>
          <w:rFonts w:ascii="Titillium Web" w:eastAsia="Verdana" w:hAnsi="Titillium Web" w:cs="Verdana"/>
          <w:b/>
          <w:sz w:val="24"/>
          <w:szCs w:val="24"/>
        </w:rPr>
      </w:pPr>
    </w:p>
    <w:p w14:paraId="304B2FA9" w14:textId="0CFB2182" w:rsidR="00676F85" w:rsidRPr="00192776" w:rsidRDefault="00FB55F2" w:rsidP="00696935">
      <w:pPr>
        <w:spacing w:after="0" w:line="240" w:lineRule="auto"/>
        <w:ind w:left="432"/>
        <w:jc w:val="center"/>
        <w:rPr>
          <w:rFonts w:ascii="Titillium Web" w:hAnsi="Titillium Web"/>
          <w:sz w:val="24"/>
          <w:szCs w:val="24"/>
        </w:rPr>
      </w:pPr>
      <w:r w:rsidRPr="00192776">
        <w:rPr>
          <w:rFonts w:ascii="Titillium Web" w:eastAsia="Verdana" w:hAnsi="Titillium Web" w:cs="Verdana"/>
          <w:b/>
          <w:sz w:val="24"/>
          <w:szCs w:val="24"/>
        </w:rPr>
        <w:t xml:space="preserve">Art. 4 </w:t>
      </w:r>
    </w:p>
    <w:p w14:paraId="4F70415B" w14:textId="46690778" w:rsidR="00676F85" w:rsidRPr="00192776" w:rsidRDefault="00FB55F2" w:rsidP="00696935">
      <w:pPr>
        <w:pStyle w:val="Titolo2"/>
        <w:spacing w:after="0" w:line="240" w:lineRule="auto"/>
        <w:ind w:left="371" w:right="2"/>
        <w:rPr>
          <w:rFonts w:ascii="Titillium Web" w:hAnsi="Titillium Web"/>
          <w:sz w:val="24"/>
          <w:szCs w:val="24"/>
        </w:rPr>
      </w:pPr>
      <w:r w:rsidRPr="00192776">
        <w:rPr>
          <w:rFonts w:ascii="Titillium Web" w:hAnsi="Titillium Web"/>
          <w:sz w:val="24"/>
          <w:szCs w:val="24"/>
        </w:rPr>
        <w:t>Durata dell’incarico</w:t>
      </w:r>
    </w:p>
    <w:p w14:paraId="23477C58" w14:textId="7C6A3CF6" w:rsidR="00676F85" w:rsidRPr="00767F69" w:rsidRDefault="00FB55F2" w:rsidP="001552FF">
      <w:pPr>
        <w:spacing w:after="249" w:line="267" w:lineRule="auto"/>
        <w:ind w:hanging="10"/>
        <w:jc w:val="both"/>
        <w:rPr>
          <w:rFonts w:ascii="Titillium Web" w:hAnsi="Titillium Web"/>
          <w:color w:val="auto"/>
          <w:sz w:val="24"/>
          <w:szCs w:val="24"/>
        </w:rPr>
      </w:pPr>
      <w:r w:rsidRPr="00767F69">
        <w:rPr>
          <w:rFonts w:ascii="Titillium Web" w:eastAsia="Verdana" w:hAnsi="Titillium Web" w:cs="Verdana"/>
          <w:color w:val="auto"/>
          <w:sz w:val="24"/>
          <w:szCs w:val="24"/>
        </w:rPr>
        <w:t xml:space="preserve">L’incarico attribuito con il presente contratto ha durata </w:t>
      </w:r>
      <w:r w:rsidR="001552FF" w:rsidRPr="00767F69">
        <w:rPr>
          <w:rFonts w:ascii="Titillium Web" w:eastAsia="Verdana" w:hAnsi="Titillium Web" w:cs="Verdana"/>
          <w:color w:val="auto"/>
          <w:sz w:val="24"/>
          <w:szCs w:val="24"/>
        </w:rPr>
        <w:t>pari a</w:t>
      </w:r>
      <w:r w:rsidR="00877301">
        <w:rPr>
          <w:rFonts w:ascii="Titillium Web" w:eastAsia="Verdana" w:hAnsi="Titillium Web" w:cs="Verdana"/>
          <w:color w:val="auto"/>
          <w:sz w:val="24"/>
          <w:szCs w:val="24"/>
        </w:rPr>
        <w:t xml:space="preserve"> </w:t>
      </w:r>
      <w:r w:rsidR="00A07823">
        <w:rPr>
          <w:rFonts w:ascii="Titillium Web" w:eastAsia="Verdana" w:hAnsi="Titillium Web" w:cs="Verdana"/>
          <w:color w:val="auto"/>
          <w:sz w:val="24"/>
          <w:szCs w:val="24"/>
        </w:rPr>
        <w:t>sei mesi</w:t>
      </w:r>
      <w:r w:rsidR="001552FF" w:rsidRPr="00767F69">
        <w:rPr>
          <w:rFonts w:ascii="Titillium Web" w:eastAsia="Verdana" w:hAnsi="Titillium Web" w:cs="Verdana"/>
          <w:color w:val="auto"/>
          <w:sz w:val="24"/>
          <w:szCs w:val="24"/>
        </w:rPr>
        <w:t>, rinnovabil</w:t>
      </w:r>
      <w:r w:rsidR="00C24FEA">
        <w:rPr>
          <w:rFonts w:ascii="Titillium Web" w:eastAsia="Verdana" w:hAnsi="Titillium Web" w:cs="Verdana"/>
          <w:color w:val="auto"/>
          <w:sz w:val="24"/>
          <w:szCs w:val="24"/>
        </w:rPr>
        <w:t>i</w:t>
      </w:r>
      <w:r w:rsidR="001552FF" w:rsidRPr="00767F69">
        <w:rPr>
          <w:rFonts w:ascii="Titillium Web" w:eastAsia="Verdana" w:hAnsi="Titillium Web" w:cs="Verdana"/>
          <w:color w:val="auto"/>
          <w:sz w:val="24"/>
          <w:szCs w:val="24"/>
        </w:rPr>
        <w:t xml:space="preserve"> </w:t>
      </w:r>
      <w:r w:rsidR="005818AD" w:rsidRPr="00767F69">
        <w:rPr>
          <w:rFonts w:ascii="Titillium Web" w:eastAsia="Verdana" w:hAnsi="Titillium Web" w:cs="Verdana"/>
          <w:color w:val="auto"/>
          <w:sz w:val="24"/>
          <w:szCs w:val="24"/>
        </w:rPr>
        <w:t>per ulterior</w:t>
      </w:r>
      <w:r w:rsidR="00C24FEA">
        <w:rPr>
          <w:rFonts w:ascii="Titillium Web" w:eastAsia="Verdana" w:hAnsi="Titillium Web" w:cs="Verdana"/>
          <w:color w:val="auto"/>
          <w:sz w:val="24"/>
          <w:szCs w:val="24"/>
        </w:rPr>
        <w:t>i sei mesi</w:t>
      </w:r>
      <w:r w:rsidR="00AC65AA" w:rsidRPr="00767F69">
        <w:rPr>
          <w:rFonts w:ascii="Titillium Web" w:eastAsia="Verdana" w:hAnsi="Titillium Web" w:cs="Verdana"/>
          <w:color w:val="auto"/>
          <w:sz w:val="24"/>
          <w:szCs w:val="24"/>
        </w:rPr>
        <w:t>.</w:t>
      </w:r>
    </w:p>
    <w:p w14:paraId="7A396825" w14:textId="77777777" w:rsidR="00676F85" w:rsidRPr="006A75F8" w:rsidRDefault="00FB55F2" w:rsidP="00696935">
      <w:pPr>
        <w:spacing w:after="0" w:line="240" w:lineRule="auto"/>
        <w:ind w:left="374" w:right="4" w:hanging="11"/>
        <w:jc w:val="center"/>
        <w:rPr>
          <w:rFonts w:ascii="Titillium Web" w:hAnsi="Titillium Web"/>
          <w:color w:val="auto"/>
          <w:sz w:val="24"/>
          <w:szCs w:val="24"/>
        </w:rPr>
      </w:pPr>
      <w:r w:rsidRPr="006A75F8">
        <w:rPr>
          <w:rFonts w:ascii="Titillium Web" w:eastAsia="Verdana" w:hAnsi="Titillium Web" w:cs="Verdana"/>
          <w:b/>
          <w:color w:val="auto"/>
          <w:sz w:val="24"/>
          <w:szCs w:val="24"/>
        </w:rPr>
        <w:t xml:space="preserve">Art. 5 </w:t>
      </w:r>
    </w:p>
    <w:p w14:paraId="075D506D" w14:textId="792518EF" w:rsidR="00676F85" w:rsidRPr="006A75F8" w:rsidRDefault="00FB55F2" w:rsidP="00696935">
      <w:pPr>
        <w:pStyle w:val="Titolo2"/>
        <w:spacing w:after="0" w:line="240" w:lineRule="auto"/>
        <w:ind w:left="374" w:hanging="11"/>
        <w:rPr>
          <w:rFonts w:ascii="Titillium Web" w:hAnsi="Titillium Web"/>
          <w:color w:val="auto"/>
          <w:sz w:val="24"/>
          <w:szCs w:val="24"/>
        </w:rPr>
      </w:pPr>
      <w:r w:rsidRPr="006A75F8">
        <w:rPr>
          <w:rFonts w:ascii="Titillium Web" w:hAnsi="Titillium Web"/>
          <w:color w:val="auto"/>
          <w:sz w:val="24"/>
          <w:szCs w:val="24"/>
        </w:rPr>
        <w:t xml:space="preserve">Cause di risoluzione </w:t>
      </w:r>
    </w:p>
    <w:p w14:paraId="6C72DA7C" w14:textId="77777777" w:rsidR="004B18FB" w:rsidRDefault="004B18FB" w:rsidP="006A75F8">
      <w:pPr>
        <w:spacing w:after="248" w:line="268" w:lineRule="auto"/>
        <w:ind w:hanging="10"/>
        <w:jc w:val="both"/>
        <w:rPr>
          <w:rFonts w:ascii="Titillium Web" w:eastAsia="Verdana" w:hAnsi="Titillium Web" w:cs="Verdana"/>
          <w:sz w:val="24"/>
          <w:szCs w:val="24"/>
        </w:rPr>
      </w:pPr>
      <w:r>
        <w:rPr>
          <w:rFonts w:ascii="Titillium Web" w:eastAsia="Verdana" w:hAnsi="Titillium Web" w:cs="Verdana"/>
          <w:sz w:val="24"/>
          <w:szCs w:val="24"/>
        </w:rPr>
        <w:t>Rappresentano cause di risoluzione del contratto:</w:t>
      </w:r>
    </w:p>
    <w:p w14:paraId="503973A3" w14:textId="55BD6FC9" w:rsidR="006A75F8" w:rsidRPr="0059368E" w:rsidRDefault="004B18FB" w:rsidP="0059368E">
      <w:pPr>
        <w:pStyle w:val="Paragrafoelenco"/>
        <w:numPr>
          <w:ilvl w:val="0"/>
          <w:numId w:val="6"/>
        </w:numPr>
        <w:spacing w:after="248" w:line="268" w:lineRule="auto"/>
        <w:jc w:val="both"/>
        <w:rPr>
          <w:rFonts w:ascii="Titillium Web" w:eastAsia="Verdana" w:hAnsi="Titillium Web" w:cs="Verdana"/>
          <w:sz w:val="24"/>
          <w:szCs w:val="24"/>
        </w:rPr>
      </w:pPr>
      <w:r w:rsidRPr="0059368E">
        <w:rPr>
          <w:rFonts w:ascii="Titillium Web" w:eastAsia="Verdana" w:hAnsi="Titillium Web" w:cs="Verdana"/>
          <w:sz w:val="24"/>
          <w:szCs w:val="24"/>
        </w:rPr>
        <w:t>i</w:t>
      </w:r>
      <w:r w:rsidR="006A75F8" w:rsidRPr="0059368E">
        <w:rPr>
          <w:rFonts w:ascii="Titillium Web" w:eastAsia="Verdana" w:hAnsi="Titillium Web" w:cs="Verdana"/>
          <w:sz w:val="24"/>
          <w:szCs w:val="24"/>
        </w:rPr>
        <w:t xml:space="preserve">l </w:t>
      </w:r>
      <w:r w:rsidRPr="0059368E">
        <w:rPr>
          <w:rFonts w:ascii="Titillium Web" w:eastAsia="Verdana" w:hAnsi="Titillium Web" w:cs="Verdana"/>
          <w:sz w:val="24"/>
          <w:szCs w:val="24"/>
        </w:rPr>
        <w:t>sopraggiungere di una delle cause di incompatibilità, previste al precedente art. 2;</w:t>
      </w:r>
    </w:p>
    <w:p w14:paraId="5AA85773" w14:textId="31F4EF1E" w:rsidR="006A75F8" w:rsidRPr="0059368E" w:rsidRDefault="004B18FB" w:rsidP="0059368E">
      <w:pPr>
        <w:pStyle w:val="Paragrafoelenco"/>
        <w:numPr>
          <w:ilvl w:val="0"/>
          <w:numId w:val="6"/>
        </w:numPr>
        <w:spacing w:after="248" w:line="268" w:lineRule="auto"/>
        <w:jc w:val="both"/>
        <w:rPr>
          <w:rFonts w:ascii="Titillium Web" w:eastAsia="Verdana" w:hAnsi="Titillium Web" w:cs="Verdana"/>
          <w:sz w:val="24"/>
          <w:szCs w:val="24"/>
        </w:rPr>
      </w:pPr>
      <w:r w:rsidRPr="0059368E">
        <w:rPr>
          <w:rFonts w:ascii="Titillium Web" w:eastAsia="Verdana" w:hAnsi="Titillium Web" w:cs="Verdana"/>
          <w:sz w:val="24"/>
          <w:szCs w:val="24"/>
        </w:rPr>
        <w:t>l’in</w:t>
      </w:r>
      <w:r w:rsidR="006A75F8" w:rsidRPr="0059368E">
        <w:rPr>
          <w:rFonts w:ascii="Titillium Web" w:eastAsia="Verdana" w:hAnsi="Titillium Web" w:cs="Verdana"/>
          <w:sz w:val="24"/>
          <w:szCs w:val="24"/>
        </w:rPr>
        <w:t>osservanza degli obiettivi definiti dal Coordinamento generale medico-legale</w:t>
      </w:r>
      <w:r w:rsidRPr="0059368E">
        <w:rPr>
          <w:rFonts w:ascii="Titillium Web" w:eastAsia="Verdana" w:hAnsi="Titillium Web" w:cs="Verdana"/>
          <w:sz w:val="24"/>
          <w:szCs w:val="24"/>
        </w:rPr>
        <w:t>,</w:t>
      </w:r>
      <w:r w:rsidR="006A75F8" w:rsidRPr="0059368E">
        <w:rPr>
          <w:rFonts w:ascii="Titillium Web" w:eastAsia="Verdana" w:hAnsi="Titillium Web" w:cs="Verdana"/>
          <w:sz w:val="24"/>
          <w:szCs w:val="24"/>
        </w:rPr>
        <w:t xml:space="preserve"> in sede di pianificazione delle attività</w:t>
      </w:r>
      <w:r w:rsidRPr="0059368E">
        <w:rPr>
          <w:rFonts w:ascii="Titillium Web" w:eastAsia="Verdana" w:hAnsi="Titillium Web" w:cs="Verdana"/>
          <w:sz w:val="24"/>
          <w:szCs w:val="24"/>
        </w:rPr>
        <w:t>;</w:t>
      </w:r>
    </w:p>
    <w:p w14:paraId="0AA59B7C" w14:textId="7761EC45" w:rsidR="006A75F8" w:rsidRPr="0059368E" w:rsidRDefault="004B18FB" w:rsidP="0059368E">
      <w:pPr>
        <w:pStyle w:val="Paragrafoelenco"/>
        <w:numPr>
          <w:ilvl w:val="0"/>
          <w:numId w:val="6"/>
        </w:numPr>
        <w:spacing w:after="248" w:line="268" w:lineRule="auto"/>
        <w:jc w:val="both"/>
        <w:rPr>
          <w:rFonts w:ascii="Titillium Web" w:eastAsia="Verdana" w:hAnsi="Titillium Web" w:cs="Verdana"/>
          <w:sz w:val="24"/>
          <w:szCs w:val="24"/>
        </w:rPr>
      </w:pPr>
      <w:r w:rsidRPr="0059368E">
        <w:rPr>
          <w:rFonts w:ascii="Titillium Web" w:eastAsia="Verdana" w:hAnsi="Titillium Web" w:cs="Verdana"/>
          <w:sz w:val="24"/>
          <w:szCs w:val="24"/>
        </w:rPr>
        <w:t xml:space="preserve">la </w:t>
      </w:r>
      <w:r w:rsidR="006A75F8" w:rsidRPr="0059368E">
        <w:rPr>
          <w:rFonts w:ascii="Titillium Web" w:eastAsia="Verdana" w:hAnsi="Titillium Web" w:cs="Verdana"/>
          <w:sz w:val="24"/>
          <w:szCs w:val="24"/>
        </w:rPr>
        <w:t>mancata presentazione, entro e non oltre il termine di 10 giorni dalla sottoscrizione del contratto, della documentazione necessaria ad ottemperare agli obblighi di comunicazione previsti dagli artt.15 del D.lgs. n.33/2013 e 53, comma 14</w:t>
      </w:r>
      <w:r w:rsidR="005E0F7A">
        <w:rPr>
          <w:rFonts w:ascii="Titillium Web" w:eastAsia="Verdana" w:hAnsi="Titillium Web" w:cs="Verdana"/>
          <w:sz w:val="24"/>
          <w:szCs w:val="24"/>
        </w:rPr>
        <w:t xml:space="preserve">, </w:t>
      </w:r>
      <w:r w:rsidR="006A75F8" w:rsidRPr="0059368E">
        <w:rPr>
          <w:rFonts w:ascii="Titillium Web" w:eastAsia="Verdana" w:hAnsi="Titillium Web" w:cs="Verdana"/>
          <w:sz w:val="24"/>
          <w:szCs w:val="24"/>
        </w:rPr>
        <w:t>del D.lgs. n. 165/2001</w:t>
      </w:r>
      <w:r w:rsidRPr="0059368E">
        <w:rPr>
          <w:rFonts w:ascii="Titillium Web" w:eastAsia="Verdana" w:hAnsi="Titillium Web" w:cs="Verdana"/>
          <w:sz w:val="24"/>
          <w:szCs w:val="24"/>
        </w:rPr>
        <w:t>;</w:t>
      </w:r>
    </w:p>
    <w:p w14:paraId="5C539BFE" w14:textId="41C050E8" w:rsidR="006A75F8" w:rsidRPr="0059368E" w:rsidRDefault="004B18FB" w:rsidP="0059368E">
      <w:pPr>
        <w:pStyle w:val="Paragrafoelenco"/>
        <w:numPr>
          <w:ilvl w:val="0"/>
          <w:numId w:val="6"/>
        </w:numPr>
        <w:spacing w:after="248" w:line="268" w:lineRule="auto"/>
        <w:jc w:val="both"/>
        <w:rPr>
          <w:rFonts w:ascii="Titillium Web" w:eastAsia="Verdana" w:hAnsi="Titillium Web" w:cs="Verdana"/>
          <w:sz w:val="24"/>
          <w:szCs w:val="24"/>
        </w:rPr>
      </w:pPr>
      <w:r w:rsidRPr="0059368E">
        <w:rPr>
          <w:rFonts w:ascii="Titillium Web" w:eastAsia="Verdana" w:hAnsi="Titillium Web" w:cs="Verdana"/>
          <w:sz w:val="24"/>
          <w:szCs w:val="24"/>
        </w:rPr>
        <w:t>l</w:t>
      </w:r>
      <w:r w:rsidR="006A75F8" w:rsidRPr="0059368E">
        <w:rPr>
          <w:rFonts w:ascii="Titillium Web" w:eastAsia="Verdana" w:hAnsi="Titillium Web" w:cs="Verdana"/>
          <w:sz w:val="24"/>
          <w:szCs w:val="24"/>
        </w:rPr>
        <w:t>’insorgenza di situazioni</w:t>
      </w:r>
      <w:r w:rsidR="0059368E" w:rsidRPr="0059368E">
        <w:rPr>
          <w:rFonts w:ascii="Titillium Web" w:eastAsia="Verdana" w:hAnsi="Titillium Web" w:cs="Verdana"/>
          <w:sz w:val="24"/>
          <w:szCs w:val="24"/>
        </w:rPr>
        <w:t xml:space="preserve"> </w:t>
      </w:r>
      <w:r w:rsidR="006A75F8" w:rsidRPr="0059368E">
        <w:rPr>
          <w:rFonts w:ascii="Titillium Web" w:eastAsia="Verdana" w:hAnsi="Titillium Web" w:cs="Verdana"/>
          <w:sz w:val="24"/>
          <w:szCs w:val="24"/>
        </w:rPr>
        <w:t>di conflitto di interesse</w:t>
      </w:r>
      <w:r w:rsidR="00FB72F2" w:rsidRPr="00FB72F2">
        <w:rPr>
          <w:rFonts w:ascii="Titillium Web" w:eastAsia="Verdana" w:hAnsi="Titillium Web" w:cs="Verdana"/>
          <w:sz w:val="24"/>
          <w:szCs w:val="24"/>
        </w:rPr>
        <w:t xml:space="preserve"> </w:t>
      </w:r>
      <w:r w:rsidR="00FB72F2" w:rsidRPr="0059368E">
        <w:rPr>
          <w:rFonts w:ascii="Titillium Web" w:eastAsia="Verdana" w:hAnsi="Titillium Web" w:cs="Verdana"/>
          <w:sz w:val="24"/>
          <w:szCs w:val="24"/>
        </w:rPr>
        <w:t>con l’INPS</w:t>
      </w:r>
      <w:r w:rsidR="006A75F8" w:rsidRPr="0059368E">
        <w:rPr>
          <w:rFonts w:ascii="Titillium Web" w:eastAsia="Verdana" w:hAnsi="Titillium Web" w:cs="Verdana"/>
          <w:sz w:val="24"/>
          <w:szCs w:val="24"/>
        </w:rPr>
        <w:t>, ai sensi della normativa vigente</w:t>
      </w:r>
      <w:r w:rsidR="00FB72F2">
        <w:rPr>
          <w:rFonts w:ascii="Titillium Web" w:eastAsia="Verdana" w:hAnsi="Titillium Web" w:cs="Verdana"/>
          <w:sz w:val="24"/>
          <w:szCs w:val="24"/>
        </w:rPr>
        <w:t>.</w:t>
      </w:r>
    </w:p>
    <w:p w14:paraId="3C839F15" w14:textId="336396F4" w:rsidR="006A75F8" w:rsidRPr="006A75F8" w:rsidRDefault="006A75F8" w:rsidP="006A75F8">
      <w:pPr>
        <w:spacing w:after="248" w:line="268" w:lineRule="auto"/>
        <w:ind w:hanging="10"/>
        <w:jc w:val="both"/>
        <w:rPr>
          <w:rFonts w:ascii="Titillium Web" w:eastAsia="Verdana" w:hAnsi="Titillium Web" w:cs="Verdana"/>
          <w:sz w:val="24"/>
          <w:szCs w:val="24"/>
        </w:rPr>
      </w:pPr>
      <w:r w:rsidRPr="006A75F8">
        <w:rPr>
          <w:rFonts w:ascii="Titillium Web" w:eastAsia="Verdana" w:hAnsi="Titillium Web" w:cs="Verdana"/>
          <w:sz w:val="24"/>
          <w:szCs w:val="24"/>
        </w:rPr>
        <w:t xml:space="preserve">Il medico </w:t>
      </w:r>
      <w:r>
        <w:rPr>
          <w:rFonts w:ascii="Titillium Web" w:eastAsia="Verdana" w:hAnsi="Titillium Web" w:cs="Verdana"/>
          <w:sz w:val="24"/>
          <w:szCs w:val="24"/>
        </w:rPr>
        <w:t>fiscale</w:t>
      </w:r>
      <w:r w:rsidRPr="006A75F8">
        <w:rPr>
          <w:rFonts w:ascii="Titillium Web" w:eastAsia="Verdana" w:hAnsi="Titillium Web" w:cs="Verdana"/>
          <w:sz w:val="24"/>
          <w:szCs w:val="24"/>
        </w:rPr>
        <w:t xml:space="preserve"> è tenuto a comunicare, con PEC, l'eventuale recesso dal contratto</w:t>
      </w:r>
      <w:r>
        <w:rPr>
          <w:rFonts w:ascii="Titillium Web" w:eastAsia="Verdana" w:hAnsi="Titillium Web" w:cs="Verdana"/>
          <w:sz w:val="24"/>
          <w:szCs w:val="24"/>
        </w:rPr>
        <w:t xml:space="preserve"> </w:t>
      </w:r>
      <w:r w:rsidRPr="006A75F8">
        <w:rPr>
          <w:rFonts w:ascii="Titillium Web" w:eastAsia="Verdana" w:hAnsi="Titillium Web" w:cs="Verdana"/>
          <w:sz w:val="24"/>
          <w:szCs w:val="24"/>
        </w:rPr>
        <w:t>al Direttore della Sede INPS di competenza e al Responsabile del Centro Medico</w:t>
      </w:r>
      <w:r>
        <w:rPr>
          <w:rFonts w:ascii="Titillium Web" w:eastAsia="Verdana" w:hAnsi="Titillium Web" w:cs="Verdana"/>
          <w:sz w:val="24"/>
          <w:szCs w:val="24"/>
        </w:rPr>
        <w:t xml:space="preserve"> </w:t>
      </w:r>
      <w:r w:rsidRPr="006A75F8">
        <w:rPr>
          <w:rFonts w:ascii="Titillium Web" w:eastAsia="Verdana" w:hAnsi="Titillium Web" w:cs="Verdana"/>
          <w:sz w:val="24"/>
          <w:szCs w:val="24"/>
        </w:rPr>
        <w:t>Legale INPS presso cui espleta la propria attività, con un preavviso di almeno 30 giorni.</w:t>
      </w:r>
    </w:p>
    <w:p w14:paraId="21E3182D" w14:textId="4649CEE4" w:rsidR="00676F85" w:rsidRPr="006A75F8" w:rsidRDefault="006A75F8" w:rsidP="006A75F8">
      <w:pPr>
        <w:spacing w:after="248" w:line="268" w:lineRule="auto"/>
        <w:ind w:hanging="10"/>
        <w:jc w:val="both"/>
        <w:rPr>
          <w:rFonts w:ascii="Titillium Web" w:eastAsia="Verdana" w:hAnsi="Titillium Web" w:cs="Verdana"/>
          <w:sz w:val="24"/>
          <w:szCs w:val="24"/>
        </w:rPr>
      </w:pPr>
      <w:r w:rsidRPr="006A75F8">
        <w:rPr>
          <w:rFonts w:ascii="Titillium Web" w:eastAsia="Verdana" w:hAnsi="Titillium Web" w:cs="Verdana"/>
          <w:sz w:val="24"/>
          <w:szCs w:val="24"/>
        </w:rPr>
        <w:t xml:space="preserve">Nei casi di risoluzione anticipata del rapporto, al medico </w:t>
      </w:r>
      <w:r w:rsidR="004B18FB">
        <w:rPr>
          <w:rFonts w:ascii="Titillium Web" w:eastAsia="Verdana" w:hAnsi="Titillium Web" w:cs="Verdana"/>
          <w:sz w:val="24"/>
          <w:szCs w:val="24"/>
        </w:rPr>
        <w:t>fiscale</w:t>
      </w:r>
      <w:r w:rsidRPr="006A75F8">
        <w:rPr>
          <w:rFonts w:ascii="Titillium Web" w:eastAsia="Verdana" w:hAnsi="Titillium Web" w:cs="Verdana"/>
          <w:sz w:val="24"/>
          <w:szCs w:val="24"/>
        </w:rPr>
        <w:t xml:space="preserve"> non spetterà alcuna</w:t>
      </w:r>
      <w:r>
        <w:rPr>
          <w:rFonts w:ascii="Titillium Web" w:eastAsia="Verdana" w:hAnsi="Titillium Web" w:cs="Verdana"/>
          <w:sz w:val="24"/>
          <w:szCs w:val="24"/>
        </w:rPr>
        <w:t xml:space="preserve"> </w:t>
      </w:r>
      <w:r w:rsidRPr="006A75F8">
        <w:rPr>
          <w:rFonts w:ascii="Titillium Web" w:eastAsia="Verdana" w:hAnsi="Titillium Web" w:cs="Verdana"/>
          <w:sz w:val="24"/>
          <w:szCs w:val="24"/>
        </w:rPr>
        <w:t>indennità o compenso a qualsiasi titolo, ancorché risarcitorio, fatti salvi gli</w:t>
      </w:r>
      <w:r>
        <w:rPr>
          <w:rFonts w:ascii="Titillium Web" w:eastAsia="Verdana" w:hAnsi="Titillium Web" w:cs="Verdana"/>
          <w:sz w:val="24"/>
          <w:szCs w:val="24"/>
        </w:rPr>
        <w:t xml:space="preserve"> </w:t>
      </w:r>
      <w:r w:rsidRPr="006A75F8">
        <w:rPr>
          <w:rFonts w:ascii="Titillium Web" w:eastAsia="Verdana" w:hAnsi="Titillium Web" w:cs="Verdana"/>
          <w:sz w:val="24"/>
          <w:szCs w:val="24"/>
        </w:rPr>
        <w:t>emolumenti dovuti per le prestazioni già rese.</w:t>
      </w:r>
    </w:p>
    <w:p w14:paraId="03864D1C" w14:textId="4FA9C412" w:rsidR="00676F85" w:rsidRPr="00192776" w:rsidRDefault="00FB55F2" w:rsidP="00696935">
      <w:pPr>
        <w:spacing w:after="0" w:line="240" w:lineRule="auto"/>
        <w:ind w:left="432"/>
        <w:jc w:val="center"/>
        <w:rPr>
          <w:rFonts w:ascii="Titillium Web" w:hAnsi="Titillium Web"/>
          <w:sz w:val="24"/>
          <w:szCs w:val="24"/>
        </w:rPr>
      </w:pPr>
      <w:r w:rsidRPr="00192776">
        <w:rPr>
          <w:rFonts w:ascii="Titillium Web" w:eastAsia="Verdana" w:hAnsi="Titillium Web" w:cs="Verdana"/>
          <w:b/>
          <w:sz w:val="24"/>
          <w:szCs w:val="24"/>
        </w:rPr>
        <w:t xml:space="preserve">Art. 6 </w:t>
      </w:r>
    </w:p>
    <w:p w14:paraId="5248CE8A" w14:textId="77777777" w:rsidR="00676F85" w:rsidRPr="00192776" w:rsidRDefault="00FB55F2" w:rsidP="00696935">
      <w:pPr>
        <w:pStyle w:val="Titolo2"/>
        <w:spacing w:after="0" w:line="240" w:lineRule="auto"/>
        <w:ind w:left="371" w:right="2"/>
        <w:rPr>
          <w:rFonts w:ascii="Titillium Web" w:hAnsi="Titillium Web"/>
          <w:sz w:val="24"/>
          <w:szCs w:val="24"/>
        </w:rPr>
      </w:pPr>
      <w:r w:rsidRPr="00192776">
        <w:rPr>
          <w:rFonts w:ascii="Titillium Web" w:hAnsi="Titillium Web"/>
          <w:sz w:val="24"/>
          <w:szCs w:val="24"/>
        </w:rPr>
        <w:t xml:space="preserve">Dichiarazione di responsabilità </w:t>
      </w:r>
    </w:p>
    <w:p w14:paraId="4E2853C8" w14:textId="77777777" w:rsidR="00676F85" w:rsidRPr="00192776" w:rsidRDefault="00FB55F2">
      <w:pPr>
        <w:spacing w:after="248" w:line="268" w:lineRule="auto"/>
        <w:ind w:hanging="10"/>
        <w:jc w:val="both"/>
        <w:rPr>
          <w:rFonts w:ascii="Titillium Web" w:hAnsi="Titillium Web"/>
          <w:sz w:val="24"/>
          <w:szCs w:val="24"/>
        </w:rPr>
      </w:pPr>
      <w:r w:rsidRPr="00192776">
        <w:rPr>
          <w:rFonts w:ascii="Titillium Web" w:eastAsia="Verdana" w:hAnsi="Titillium Web" w:cs="Verdana"/>
          <w:sz w:val="24"/>
          <w:szCs w:val="24"/>
        </w:rPr>
        <w:t xml:space="preserve">Il medico fiscale dichiara, sotto la propria responsabilità, di: </w:t>
      </w:r>
    </w:p>
    <w:p w14:paraId="7C22FCB7" w14:textId="53B33F2C" w:rsidR="00676F85" w:rsidRPr="00192776" w:rsidRDefault="00FB55F2">
      <w:pPr>
        <w:numPr>
          <w:ilvl w:val="0"/>
          <w:numId w:val="2"/>
        </w:numPr>
        <w:spacing w:after="248" w:line="268" w:lineRule="auto"/>
        <w:ind w:hanging="360"/>
        <w:jc w:val="both"/>
        <w:rPr>
          <w:rFonts w:ascii="Titillium Web" w:hAnsi="Titillium Web"/>
          <w:sz w:val="24"/>
          <w:szCs w:val="24"/>
        </w:rPr>
      </w:pPr>
      <w:r w:rsidRPr="00192776">
        <w:rPr>
          <w:rFonts w:ascii="Titillium Web" w:eastAsia="Verdana" w:hAnsi="Titillium Web" w:cs="Verdana"/>
          <w:sz w:val="24"/>
          <w:szCs w:val="24"/>
        </w:rPr>
        <w:t xml:space="preserve">non trovarsi in alcuna delle condizioni di incompatibilità/inconferibilità previste </w:t>
      </w:r>
      <w:r w:rsidR="00512521">
        <w:rPr>
          <w:rFonts w:ascii="Titillium Web" w:eastAsia="Verdana" w:hAnsi="Titillium Web" w:cs="Verdana"/>
          <w:sz w:val="24"/>
          <w:szCs w:val="24"/>
        </w:rPr>
        <w:t>da</w:t>
      </w:r>
      <w:r w:rsidR="00C42922">
        <w:rPr>
          <w:rFonts w:ascii="Titillium Web" w:eastAsia="Verdana" w:hAnsi="Titillium Web" w:cs="Verdana"/>
          <w:sz w:val="24"/>
          <w:szCs w:val="24"/>
        </w:rPr>
        <w:t xml:space="preserve">ll’art. 2 del presente contratto </w:t>
      </w:r>
      <w:r w:rsidRPr="00192776">
        <w:rPr>
          <w:rFonts w:ascii="Titillium Web" w:eastAsia="Verdana" w:hAnsi="Titillium Web" w:cs="Verdana"/>
          <w:sz w:val="24"/>
          <w:szCs w:val="24"/>
        </w:rPr>
        <w:t xml:space="preserve">e di comunicare tempestivamente all’INPS </w:t>
      </w:r>
      <w:r w:rsidR="00512521">
        <w:rPr>
          <w:rFonts w:ascii="Titillium Web" w:eastAsia="Verdana" w:hAnsi="Titillium Web" w:cs="Verdana"/>
          <w:sz w:val="24"/>
          <w:szCs w:val="24"/>
        </w:rPr>
        <w:t xml:space="preserve">il verificarsi di </w:t>
      </w:r>
      <w:r w:rsidRPr="00192776">
        <w:rPr>
          <w:rFonts w:ascii="Titillium Web" w:eastAsia="Verdana" w:hAnsi="Titillium Web" w:cs="Verdana"/>
          <w:sz w:val="24"/>
          <w:szCs w:val="24"/>
        </w:rPr>
        <w:t xml:space="preserve">qualsiasi </w:t>
      </w:r>
      <w:r w:rsidR="00512521">
        <w:rPr>
          <w:rFonts w:ascii="Titillium Web" w:eastAsia="Verdana" w:hAnsi="Titillium Web" w:cs="Verdana"/>
          <w:sz w:val="24"/>
          <w:szCs w:val="24"/>
        </w:rPr>
        <w:t>condizione</w:t>
      </w:r>
      <w:r w:rsidRPr="00192776">
        <w:rPr>
          <w:rFonts w:ascii="Titillium Web" w:eastAsia="Verdana" w:hAnsi="Titillium Web" w:cs="Verdana"/>
          <w:sz w:val="24"/>
          <w:szCs w:val="24"/>
        </w:rPr>
        <w:t xml:space="preserve"> che possa costituire motivo di incompatibilità; </w:t>
      </w:r>
    </w:p>
    <w:p w14:paraId="6545E93F" w14:textId="53A5878A" w:rsidR="00676F85" w:rsidRPr="00192776" w:rsidRDefault="00FB55F2">
      <w:pPr>
        <w:numPr>
          <w:ilvl w:val="0"/>
          <w:numId w:val="2"/>
        </w:numPr>
        <w:spacing w:after="248" w:line="268" w:lineRule="auto"/>
        <w:ind w:hanging="360"/>
        <w:jc w:val="both"/>
        <w:rPr>
          <w:rFonts w:ascii="Titillium Web" w:hAnsi="Titillium Web"/>
          <w:sz w:val="24"/>
          <w:szCs w:val="24"/>
        </w:rPr>
      </w:pPr>
      <w:r w:rsidRPr="00192776">
        <w:rPr>
          <w:rFonts w:ascii="Titillium Web" w:eastAsia="Verdana" w:hAnsi="Titillium Web" w:cs="Verdana"/>
          <w:sz w:val="24"/>
          <w:szCs w:val="24"/>
        </w:rPr>
        <w:t>garantire la propria disponibilità nelle fasce di reperibilità indicate all’art.2</w:t>
      </w:r>
      <w:r w:rsidR="00C42922">
        <w:rPr>
          <w:rFonts w:ascii="Titillium Web" w:eastAsia="Verdana" w:hAnsi="Titillium Web" w:cs="Verdana"/>
          <w:sz w:val="24"/>
          <w:szCs w:val="24"/>
        </w:rPr>
        <w:t xml:space="preserve"> del presente contratto</w:t>
      </w:r>
      <w:r w:rsidRPr="00192776">
        <w:rPr>
          <w:rFonts w:ascii="Titillium Web" w:eastAsia="Verdana" w:hAnsi="Titillium Web" w:cs="Verdana"/>
          <w:sz w:val="24"/>
          <w:szCs w:val="24"/>
        </w:rPr>
        <w:t xml:space="preserve">; </w:t>
      </w:r>
    </w:p>
    <w:p w14:paraId="3B48ABAC" w14:textId="34E8DF0C" w:rsidR="00676F85" w:rsidRPr="00192776" w:rsidRDefault="00FB55F2" w:rsidP="00C42922">
      <w:pPr>
        <w:numPr>
          <w:ilvl w:val="0"/>
          <w:numId w:val="2"/>
        </w:numPr>
        <w:spacing w:after="248" w:line="268" w:lineRule="auto"/>
        <w:ind w:hanging="360"/>
        <w:jc w:val="both"/>
        <w:rPr>
          <w:rFonts w:ascii="Titillium Web" w:hAnsi="Titillium Web"/>
          <w:sz w:val="24"/>
          <w:szCs w:val="24"/>
        </w:rPr>
      </w:pPr>
      <w:r w:rsidRPr="00192776">
        <w:rPr>
          <w:rFonts w:ascii="Titillium Web" w:eastAsia="Verdana" w:hAnsi="Titillium Web" w:cs="Verdana"/>
          <w:sz w:val="24"/>
          <w:szCs w:val="24"/>
        </w:rPr>
        <w:t xml:space="preserve">effettuare le visite di controllo assegnate secondo le modalità operative indicate dall’Istituto; </w:t>
      </w:r>
    </w:p>
    <w:p w14:paraId="6DEEAF23" w14:textId="77777777" w:rsidR="00676F85" w:rsidRPr="00192776" w:rsidRDefault="00FB55F2">
      <w:pPr>
        <w:numPr>
          <w:ilvl w:val="0"/>
          <w:numId w:val="2"/>
        </w:numPr>
        <w:spacing w:after="248" w:line="268" w:lineRule="auto"/>
        <w:ind w:hanging="360"/>
        <w:jc w:val="both"/>
        <w:rPr>
          <w:rFonts w:ascii="Titillium Web" w:hAnsi="Titillium Web"/>
          <w:sz w:val="24"/>
          <w:szCs w:val="24"/>
        </w:rPr>
      </w:pPr>
      <w:r w:rsidRPr="00192776">
        <w:rPr>
          <w:rFonts w:ascii="Titillium Web" w:eastAsia="Verdana" w:hAnsi="Titillium Web" w:cs="Verdana"/>
          <w:sz w:val="24"/>
          <w:szCs w:val="24"/>
        </w:rPr>
        <w:t xml:space="preserve">astenersi dall’eseguire visite di controllo nei confronti del coniuge, di parenti o affini entro il quarto grado, ovvero nei confronti di altri soggetti per i quali vi potrebbe essere un potenziale conflitto di interesse, specialmente con riferimento all’eventuale sovrapponibilità tra l’attività di certificazione e quella di controllo medico legale; </w:t>
      </w:r>
    </w:p>
    <w:p w14:paraId="78C1C0C1" w14:textId="77777777" w:rsidR="00676F85" w:rsidRPr="00192776" w:rsidRDefault="00FB55F2">
      <w:pPr>
        <w:numPr>
          <w:ilvl w:val="0"/>
          <w:numId w:val="2"/>
        </w:numPr>
        <w:spacing w:after="248" w:line="268" w:lineRule="auto"/>
        <w:ind w:hanging="360"/>
        <w:jc w:val="both"/>
        <w:rPr>
          <w:rFonts w:ascii="Titillium Web" w:hAnsi="Titillium Web"/>
          <w:sz w:val="24"/>
          <w:szCs w:val="24"/>
        </w:rPr>
      </w:pPr>
      <w:r w:rsidRPr="00192776">
        <w:rPr>
          <w:rFonts w:ascii="Titillium Web" w:eastAsia="Verdana" w:hAnsi="Titillium Web" w:cs="Verdana"/>
          <w:sz w:val="24"/>
          <w:szCs w:val="24"/>
        </w:rPr>
        <w:t xml:space="preserve">osservare gli obblighi derivanti dal codice di comportamento di cui al D.P.R. n. 62/2013 e di prendere atto della facoltà dell'Amministrazione di procedere a risoluzione o decadenza del rapporto in caso di violazione degli obblighi predetti; </w:t>
      </w:r>
    </w:p>
    <w:p w14:paraId="3C0CB3CF" w14:textId="28608DFC" w:rsidR="00676F85" w:rsidRPr="00192776" w:rsidRDefault="00FB55F2">
      <w:pPr>
        <w:numPr>
          <w:ilvl w:val="0"/>
          <w:numId w:val="2"/>
        </w:numPr>
        <w:spacing w:after="249" w:line="267" w:lineRule="auto"/>
        <w:ind w:hanging="360"/>
        <w:jc w:val="both"/>
        <w:rPr>
          <w:rFonts w:ascii="Titillium Web" w:hAnsi="Titillium Web"/>
          <w:sz w:val="24"/>
          <w:szCs w:val="24"/>
        </w:rPr>
      </w:pPr>
      <w:r w:rsidRPr="00192776">
        <w:rPr>
          <w:rFonts w:ascii="Titillium Web" w:eastAsia="Verdana" w:hAnsi="Titillium Web" w:cs="Verdana"/>
          <w:sz w:val="24"/>
          <w:szCs w:val="24"/>
        </w:rPr>
        <w:t xml:space="preserve">impegnarsi all’osservanza delle norme del </w:t>
      </w:r>
      <w:r w:rsidR="006567DC">
        <w:rPr>
          <w:rFonts w:ascii="Titillium Web" w:eastAsia="Verdana" w:hAnsi="Titillium Web" w:cs="Verdana"/>
          <w:sz w:val="24"/>
          <w:szCs w:val="24"/>
        </w:rPr>
        <w:t xml:space="preserve">vigente </w:t>
      </w:r>
      <w:r w:rsidRPr="00192776">
        <w:rPr>
          <w:rFonts w:ascii="Titillium Web" w:eastAsia="Verdana" w:hAnsi="Titillium Web" w:cs="Verdana"/>
          <w:sz w:val="24"/>
          <w:szCs w:val="24"/>
        </w:rPr>
        <w:t xml:space="preserve">“Codice di comportamento dei dipendenti dell’Istituto Nazionale della Previdenza Sociale” e del </w:t>
      </w:r>
      <w:r w:rsidR="006567DC">
        <w:rPr>
          <w:rFonts w:ascii="Titillium Web" w:eastAsia="Verdana" w:hAnsi="Titillium Web" w:cs="Verdana"/>
          <w:sz w:val="24"/>
          <w:szCs w:val="24"/>
        </w:rPr>
        <w:t xml:space="preserve">vigente </w:t>
      </w:r>
      <w:r w:rsidRPr="00192776">
        <w:rPr>
          <w:rFonts w:ascii="Titillium Web" w:eastAsia="Verdana" w:hAnsi="Titillium Web" w:cs="Verdana"/>
          <w:sz w:val="24"/>
          <w:szCs w:val="24"/>
        </w:rPr>
        <w:t xml:space="preserve">“Codice di condotta”. </w:t>
      </w:r>
      <w:r w:rsidR="00C24FEA">
        <w:rPr>
          <w:rFonts w:ascii="Titillium Web" w:eastAsia="Verdana" w:hAnsi="Titillium Web" w:cs="Verdana"/>
          <w:sz w:val="24"/>
          <w:szCs w:val="24"/>
        </w:rPr>
        <w:t>Con la sottoscrizione del presente contratto, d</w:t>
      </w:r>
      <w:r w:rsidRPr="00192776">
        <w:rPr>
          <w:rFonts w:ascii="Titillium Web" w:eastAsia="Verdana" w:hAnsi="Titillium Web" w:cs="Verdana"/>
          <w:sz w:val="24"/>
          <w:szCs w:val="24"/>
        </w:rPr>
        <w:t>ichiara, altresì, di prendere atto che, la violazione derivante dagli obblighi previsti dai predetti Codici è causa di risoluzione del contratto e decadenza del rapporto con l’Istituto</w:t>
      </w:r>
      <w:r w:rsidR="006567DC">
        <w:rPr>
          <w:rFonts w:ascii="Titillium Web" w:eastAsia="Verdana" w:hAnsi="Titillium Web" w:cs="Verdana"/>
          <w:sz w:val="24"/>
          <w:szCs w:val="24"/>
        </w:rPr>
        <w:t>;</w:t>
      </w:r>
      <w:r w:rsidRPr="00192776">
        <w:rPr>
          <w:rFonts w:ascii="Titillium Web" w:eastAsia="Verdana" w:hAnsi="Titillium Web" w:cs="Verdana"/>
          <w:sz w:val="24"/>
          <w:szCs w:val="24"/>
        </w:rPr>
        <w:t xml:space="preserve"> </w:t>
      </w:r>
    </w:p>
    <w:p w14:paraId="42C3B9E7" w14:textId="77777777" w:rsidR="00AC65AA" w:rsidRPr="00192776" w:rsidRDefault="00AC65AA" w:rsidP="00AC65AA">
      <w:pPr>
        <w:numPr>
          <w:ilvl w:val="0"/>
          <w:numId w:val="2"/>
        </w:numPr>
        <w:spacing w:after="249" w:line="267" w:lineRule="auto"/>
        <w:ind w:hanging="360"/>
        <w:jc w:val="both"/>
        <w:rPr>
          <w:rFonts w:ascii="Titillium Web" w:hAnsi="Titillium Web"/>
          <w:sz w:val="24"/>
          <w:szCs w:val="24"/>
        </w:rPr>
      </w:pPr>
      <w:r w:rsidRPr="00192776">
        <w:rPr>
          <w:rFonts w:ascii="Titillium Web" w:eastAsia="Verdana" w:hAnsi="Titillium Web" w:cs="Verdana"/>
          <w:sz w:val="24"/>
          <w:szCs w:val="24"/>
        </w:rPr>
        <w:t xml:space="preserve">di impegnarsi a presentare all’inizio dell’incarico e successivamente all’inizio di ciascun anno di imposta dichiarazione di responsabilità in ordine al regime fiscale adottato nonché a eventuali variazioni consentite in corso d’anno ai fini degli adempimenti dell’Istituto in qualità di sostituto di imposta; </w:t>
      </w:r>
    </w:p>
    <w:p w14:paraId="24C204EE" w14:textId="77777777" w:rsidR="00676F85" w:rsidRPr="00192776" w:rsidRDefault="00FB55F2" w:rsidP="00696935">
      <w:pPr>
        <w:spacing w:after="0" w:line="240" w:lineRule="auto"/>
        <w:ind w:left="374" w:right="4" w:hanging="11"/>
        <w:jc w:val="center"/>
        <w:rPr>
          <w:rFonts w:ascii="Titillium Web" w:hAnsi="Titillium Web"/>
          <w:sz w:val="24"/>
          <w:szCs w:val="24"/>
        </w:rPr>
      </w:pPr>
      <w:r w:rsidRPr="00192776">
        <w:rPr>
          <w:rFonts w:ascii="Titillium Web" w:eastAsia="Verdana" w:hAnsi="Titillium Web" w:cs="Verdana"/>
          <w:b/>
          <w:sz w:val="24"/>
          <w:szCs w:val="24"/>
        </w:rPr>
        <w:t xml:space="preserve">Art. 7 </w:t>
      </w:r>
    </w:p>
    <w:p w14:paraId="4243F202" w14:textId="77777777" w:rsidR="00676F85" w:rsidRPr="00192776" w:rsidRDefault="00FB55F2" w:rsidP="00696935">
      <w:pPr>
        <w:pStyle w:val="Titolo2"/>
        <w:spacing w:after="0" w:line="240" w:lineRule="auto"/>
        <w:ind w:left="374" w:right="1" w:hanging="11"/>
        <w:rPr>
          <w:rFonts w:ascii="Titillium Web" w:hAnsi="Titillium Web"/>
          <w:sz w:val="24"/>
          <w:szCs w:val="24"/>
        </w:rPr>
      </w:pPr>
      <w:r w:rsidRPr="00192776">
        <w:rPr>
          <w:rFonts w:ascii="Titillium Web" w:hAnsi="Titillium Web"/>
          <w:sz w:val="24"/>
          <w:szCs w:val="24"/>
        </w:rPr>
        <w:t xml:space="preserve">Obblighi in materia di protezione dei dati personali </w:t>
      </w:r>
    </w:p>
    <w:p w14:paraId="43A7FE82" w14:textId="77777777" w:rsidR="00676F85" w:rsidRPr="00192776" w:rsidRDefault="00FB55F2">
      <w:pPr>
        <w:spacing w:after="248" w:line="268" w:lineRule="auto"/>
        <w:ind w:hanging="10"/>
        <w:jc w:val="both"/>
        <w:rPr>
          <w:rFonts w:ascii="Titillium Web" w:hAnsi="Titillium Web"/>
          <w:sz w:val="24"/>
          <w:szCs w:val="24"/>
        </w:rPr>
      </w:pPr>
      <w:r w:rsidRPr="00192776">
        <w:rPr>
          <w:rFonts w:ascii="Titillium Web" w:eastAsia="Verdana" w:hAnsi="Titillium Web" w:cs="Verdana"/>
          <w:sz w:val="24"/>
          <w:szCs w:val="24"/>
        </w:rPr>
        <w:t xml:space="preserve">Il medico fiscale si obbliga, nell’espletamento dell’incarico, alla corretta e scrupolosa osservanza delle disposizioni di cui al decreto legislativo n. 196 del 30 giugno 2003, recante la disciplina sul trattamento dei dati personali, al </w:t>
      </w:r>
      <w:r w:rsidRPr="00192776">
        <w:rPr>
          <w:rFonts w:ascii="Titillium Web" w:eastAsia="Verdana" w:hAnsi="Titillium Web" w:cs="Verdana"/>
          <w:i/>
          <w:sz w:val="24"/>
          <w:szCs w:val="24"/>
        </w:rPr>
        <w:t xml:space="preserve">Regolamento (UE) 2016/679 del Parlamento Europeo e del Consiglio, del 27 aprile 2016 e </w:t>
      </w:r>
      <w:r w:rsidRPr="00192776">
        <w:rPr>
          <w:rFonts w:ascii="Titillium Web" w:eastAsia="Verdana" w:hAnsi="Titillium Web" w:cs="Verdana"/>
          <w:sz w:val="24"/>
          <w:szCs w:val="24"/>
        </w:rPr>
        <w:t>ai successivi provvedimenti attuativi dello stesso,</w:t>
      </w:r>
      <w:r w:rsidRPr="00192776">
        <w:rPr>
          <w:rFonts w:ascii="Titillium Web" w:eastAsia="Verdana" w:hAnsi="Titillium Web" w:cs="Verdana"/>
          <w:i/>
          <w:sz w:val="24"/>
          <w:szCs w:val="24"/>
        </w:rPr>
        <w:t xml:space="preserve"> </w:t>
      </w:r>
      <w:r w:rsidRPr="00192776">
        <w:rPr>
          <w:rFonts w:ascii="Titillium Web" w:eastAsia="Verdana" w:hAnsi="Titillium Web" w:cs="Verdana"/>
          <w:b/>
          <w:i/>
          <w:sz w:val="24"/>
          <w:szCs w:val="24"/>
        </w:rPr>
        <w:t xml:space="preserve"> </w:t>
      </w:r>
      <w:r w:rsidRPr="00192776">
        <w:rPr>
          <w:rFonts w:ascii="Titillium Web" w:eastAsia="Verdana" w:hAnsi="Titillium Web" w:cs="Verdana"/>
          <w:sz w:val="24"/>
          <w:szCs w:val="24"/>
        </w:rPr>
        <w:t xml:space="preserve">impegnandosi inoltre a non divulgare, comunicare o cedere a terzi estranei le informazioni di cui dovesse venire in possesso. </w:t>
      </w:r>
    </w:p>
    <w:p w14:paraId="1EDB9B84" w14:textId="77777777" w:rsidR="00676F85" w:rsidRPr="00192776" w:rsidRDefault="00FB55F2">
      <w:pPr>
        <w:spacing w:after="248" w:line="268" w:lineRule="auto"/>
        <w:ind w:hanging="10"/>
        <w:jc w:val="both"/>
        <w:rPr>
          <w:rFonts w:ascii="Titillium Web" w:hAnsi="Titillium Web"/>
          <w:sz w:val="24"/>
          <w:szCs w:val="24"/>
        </w:rPr>
      </w:pPr>
      <w:r w:rsidRPr="00192776">
        <w:rPr>
          <w:rFonts w:ascii="Titillium Web" w:eastAsia="Verdana" w:hAnsi="Titillium Web" w:cs="Verdana"/>
          <w:sz w:val="24"/>
          <w:szCs w:val="24"/>
        </w:rPr>
        <w:t>L’INPS, in qualità di Titolare del trattamento, provvederà a nominare la/il dott.ssa/dott.___________________________, persona autorizzata ai sensi dell’art. 4 n. 10 GDPR (</w:t>
      </w:r>
      <w:r w:rsidRPr="00192776">
        <w:rPr>
          <w:rFonts w:ascii="Titillium Web" w:eastAsia="Verdana" w:hAnsi="Titillium Web" w:cs="Verdana"/>
          <w:i/>
          <w:sz w:val="24"/>
          <w:szCs w:val="24"/>
        </w:rPr>
        <w:t>General Data Protection Regulation</w:t>
      </w:r>
      <w:r w:rsidRPr="00192776">
        <w:rPr>
          <w:rFonts w:ascii="Titillium Web" w:eastAsia="Verdana" w:hAnsi="Titillium Web" w:cs="Verdana"/>
          <w:sz w:val="24"/>
          <w:szCs w:val="24"/>
        </w:rPr>
        <w:t xml:space="preserve">) e a fornire al riguardo dettagliate istruzioni in merito alle operazioni dallo stesso eseguibili. </w:t>
      </w:r>
    </w:p>
    <w:tbl>
      <w:tblPr>
        <w:tblStyle w:val="TableGrid"/>
        <w:tblW w:w="7106" w:type="dxa"/>
        <w:tblInd w:w="113" w:type="dxa"/>
        <w:tblLook w:val="04A0" w:firstRow="1" w:lastRow="0" w:firstColumn="1" w:lastColumn="0" w:noHBand="0" w:noVBand="1"/>
      </w:tblPr>
      <w:tblGrid>
        <w:gridCol w:w="5240"/>
        <w:gridCol w:w="1866"/>
      </w:tblGrid>
      <w:tr w:rsidR="00676F85" w:rsidRPr="00192776" w14:paraId="3A0CEED4" w14:textId="77777777">
        <w:trPr>
          <w:trHeight w:val="830"/>
        </w:trPr>
        <w:tc>
          <w:tcPr>
            <w:tcW w:w="5240" w:type="dxa"/>
            <w:tcBorders>
              <w:top w:val="nil"/>
              <w:left w:val="nil"/>
              <w:bottom w:val="nil"/>
              <w:right w:val="nil"/>
            </w:tcBorders>
          </w:tcPr>
          <w:p w14:paraId="5766CACA" w14:textId="77777777" w:rsidR="00676F85" w:rsidRPr="00192776" w:rsidRDefault="00FB55F2">
            <w:pPr>
              <w:spacing w:after="17"/>
              <w:rPr>
                <w:rFonts w:ascii="Titillium Web" w:hAnsi="Titillium Web"/>
                <w:sz w:val="24"/>
                <w:szCs w:val="24"/>
              </w:rPr>
            </w:pPr>
            <w:r w:rsidRPr="00192776">
              <w:rPr>
                <w:rFonts w:ascii="Titillium Web" w:eastAsia="Verdana" w:hAnsi="Titillium Web" w:cs="Verdana"/>
                <w:sz w:val="24"/>
                <w:szCs w:val="24"/>
              </w:rPr>
              <w:t xml:space="preserve"> </w:t>
            </w:r>
          </w:p>
          <w:p w14:paraId="67405E87" w14:textId="079C1F1D" w:rsidR="00D42CCD" w:rsidRDefault="00FB55F2">
            <w:pPr>
              <w:ind w:right="2378"/>
              <w:rPr>
                <w:rFonts w:ascii="Titillium Web" w:eastAsia="Verdana" w:hAnsi="Titillium Web" w:cs="Verdana"/>
                <w:sz w:val="24"/>
                <w:szCs w:val="24"/>
              </w:rPr>
            </w:pPr>
            <w:r w:rsidRPr="00192776">
              <w:rPr>
                <w:rFonts w:ascii="Titillium Web" w:eastAsia="Verdana" w:hAnsi="Titillium Web" w:cs="Verdana"/>
                <w:sz w:val="24"/>
                <w:szCs w:val="24"/>
              </w:rPr>
              <w:t xml:space="preserve">Il Direttore </w:t>
            </w:r>
            <w:r w:rsidR="007C7DFA">
              <w:rPr>
                <w:rFonts w:ascii="Titillium Web" w:eastAsia="Verdana" w:hAnsi="Titillium Web" w:cs="Verdana"/>
                <w:sz w:val="24"/>
                <w:szCs w:val="24"/>
              </w:rPr>
              <w:t>provinciale</w:t>
            </w:r>
            <w:r w:rsidR="007C7DFA" w:rsidRPr="00192776">
              <w:rPr>
                <w:rFonts w:ascii="Titillium Web" w:eastAsia="Verdana" w:hAnsi="Titillium Web" w:cs="Verdana"/>
                <w:sz w:val="24"/>
                <w:szCs w:val="24"/>
              </w:rPr>
              <w:t xml:space="preserve"> </w:t>
            </w:r>
            <w:r w:rsidRPr="00192776">
              <w:rPr>
                <w:rFonts w:ascii="Titillium Web" w:eastAsia="Verdana" w:hAnsi="Titillium Web" w:cs="Verdana"/>
                <w:sz w:val="24"/>
                <w:szCs w:val="24"/>
              </w:rPr>
              <w:t xml:space="preserve">/ </w:t>
            </w:r>
          </w:p>
          <w:p w14:paraId="1D7E912F" w14:textId="284F197A" w:rsidR="00676F85" w:rsidRPr="00192776" w:rsidRDefault="00FB55F2">
            <w:pPr>
              <w:ind w:right="2378"/>
              <w:rPr>
                <w:rFonts w:ascii="Titillium Web" w:hAnsi="Titillium Web"/>
                <w:sz w:val="24"/>
                <w:szCs w:val="24"/>
              </w:rPr>
            </w:pPr>
            <w:r w:rsidRPr="00192776">
              <w:rPr>
                <w:rFonts w:ascii="Titillium Web" w:eastAsia="Verdana" w:hAnsi="Titillium Web" w:cs="Verdana"/>
                <w:sz w:val="24"/>
                <w:szCs w:val="24"/>
              </w:rPr>
              <w:t xml:space="preserve">di </w:t>
            </w:r>
            <w:r w:rsidR="007C7DFA">
              <w:rPr>
                <w:rFonts w:ascii="Titillium Web" w:eastAsia="Verdana" w:hAnsi="Titillium Web" w:cs="Verdana"/>
                <w:sz w:val="24"/>
                <w:szCs w:val="24"/>
              </w:rPr>
              <w:t xml:space="preserve">Filiale </w:t>
            </w:r>
            <w:r w:rsidR="001552FF" w:rsidRPr="00192776">
              <w:rPr>
                <w:rFonts w:ascii="Titillium Web" w:eastAsia="Verdana" w:hAnsi="Titillium Web" w:cs="Verdana"/>
                <w:sz w:val="24"/>
                <w:szCs w:val="24"/>
              </w:rPr>
              <w:t>metropolitano</w:t>
            </w:r>
          </w:p>
        </w:tc>
        <w:tc>
          <w:tcPr>
            <w:tcW w:w="1866" w:type="dxa"/>
            <w:tcBorders>
              <w:top w:val="nil"/>
              <w:left w:val="nil"/>
              <w:bottom w:val="nil"/>
              <w:right w:val="nil"/>
            </w:tcBorders>
          </w:tcPr>
          <w:p w14:paraId="1B947DD6" w14:textId="77777777" w:rsidR="00676F85" w:rsidRPr="00192776" w:rsidRDefault="00FB55F2">
            <w:pPr>
              <w:spacing w:after="17"/>
              <w:rPr>
                <w:rFonts w:ascii="Titillium Web" w:hAnsi="Titillium Web"/>
                <w:sz w:val="24"/>
                <w:szCs w:val="24"/>
              </w:rPr>
            </w:pPr>
            <w:r w:rsidRPr="00192776">
              <w:rPr>
                <w:rFonts w:ascii="Titillium Web" w:eastAsia="Verdana" w:hAnsi="Titillium Web" w:cs="Verdana"/>
                <w:sz w:val="24"/>
                <w:szCs w:val="24"/>
              </w:rPr>
              <w:t xml:space="preserve"> </w:t>
            </w:r>
          </w:p>
          <w:p w14:paraId="2AAC3257" w14:textId="77777777" w:rsidR="00676F85" w:rsidRPr="00192776" w:rsidRDefault="00FB55F2">
            <w:pPr>
              <w:spacing w:after="17"/>
              <w:jc w:val="both"/>
              <w:rPr>
                <w:rFonts w:ascii="Titillium Web" w:hAnsi="Titillium Web"/>
                <w:sz w:val="24"/>
                <w:szCs w:val="24"/>
              </w:rPr>
            </w:pPr>
            <w:r w:rsidRPr="00192776">
              <w:rPr>
                <w:rFonts w:ascii="Titillium Web" w:eastAsia="Verdana" w:hAnsi="Titillium Web" w:cs="Verdana"/>
                <w:sz w:val="24"/>
                <w:szCs w:val="24"/>
              </w:rPr>
              <w:t xml:space="preserve">Il medico fiscale </w:t>
            </w:r>
          </w:p>
          <w:p w14:paraId="2B1404E7" w14:textId="77777777" w:rsidR="00676F85" w:rsidRPr="00192776" w:rsidRDefault="00FB55F2">
            <w:pPr>
              <w:rPr>
                <w:rFonts w:ascii="Titillium Web" w:hAnsi="Titillium Web"/>
                <w:sz w:val="24"/>
                <w:szCs w:val="24"/>
              </w:rPr>
            </w:pPr>
            <w:r w:rsidRPr="00192776">
              <w:rPr>
                <w:rFonts w:ascii="Titillium Web" w:eastAsia="Verdana" w:hAnsi="Titillium Web" w:cs="Verdana"/>
                <w:sz w:val="24"/>
                <w:szCs w:val="24"/>
              </w:rPr>
              <w:t xml:space="preserve"> </w:t>
            </w:r>
          </w:p>
        </w:tc>
      </w:tr>
    </w:tbl>
    <w:p w14:paraId="1D331DD9" w14:textId="77777777" w:rsidR="00676F85" w:rsidRPr="00192776" w:rsidRDefault="00FB55F2">
      <w:pPr>
        <w:spacing w:after="137"/>
        <w:ind w:left="113"/>
        <w:rPr>
          <w:rFonts w:ascii="Titillium Web" w:hAnsi="Titillium Web"/>
          <w:sz w:val="24"/>
          <w:szCs w:val="24"/>
        </w:rPr>
      </w:pPr>
      <w:r w:rsidRPr="00192776">
        <w:rPr>
          <w:rFonts w:ascii="Titillium Web" w:eastAsia="Verdana" w:hAnsi="Titillium Web" w:cs="Verdana"/>
          <w:sz w:val="24"/>
          <w:szCs w:val="24"/>
        </w:rPr>
        <w:t xml:space="preserve"> </w:t>
      </w:r>
    </w:p>
    <w:p w14:paraId="4D0CD7B6" w14:textId="77777777" w:rsidR="00676F85" w:rsidRPr="00192776" w:rsidRDefault="00FB55F2">
      <w:pPr>
        <w:spacing w:after="0"/>
        <w:ind w:left="5"/>
        <w:rPr>
          <w:rFonts w:ascii="Titillium Web" w:hAnsi="Titillium Web"/>
          <w:sz w:val="24"/>
          <w:szCs w:val="24"/>
        </w:rPr>
      </w:pPr>
      <w:r w:rsidRPr="00192776">
        <w:rPr>
          <w:rFonts w:ascii="Titillium Web" w:eastAsia="Verdana" w:hAnsi="Titillium Web" w:cs="Verdana"/>
          <w:sz w:val="24"/>
          <w:szCs w:val="24"/>
        </w:rPr>
        <w:t xml:space="preserve"> </w:t>
      </w:r>
    </w:p>
    <w:sectPr w:rsidR="00676F85" w:rsidRPr="00192776">
      <w:footerReference w:type="even" r:id="rId8"/>
      <w:footerReference w:type="default" r:id="rId9"/>
      <w:footnotePr>
        <w:numRestart w:val="eachPage"/>
      </w:footnotePr>
      <w:pgSz w:w="11906" w:h="16838"/>
      <w:pgMar w:top="1470" w:right="1410" w:bottom="1416" w:left="1697"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AAA726" w14:textId="77777777" w:rsidR="00076D49" w:rsidRDefault="00076D49">
      <w:pPr>
        <w:spacing w:after="0" w:line="240" w:lineRule="auto"/>
      </w:pPr>
      <w:r>
        <w:separator/>
      </w:r>
    </w:p>
  </w:endnote>
  <w:endnote w:type="continuationSeparator" w:id="0">
    <w:p w14:paraId="6BCF34FE" w14:textId="77777777" w:rsidR="00076D49" w:rsidRDefault="00076D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Titillium Web">
    <w:altName w:val="Titillium Web"/>
    <w:panose1 w:val="00000500000000000000"/>
    <w:charset w:val="00"/>
    <w:family w:val="auto"/>
    <w:pitch w:val="variable"/>
    <w:sig w:usb0="00000007" w:usb1="00000001"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6F9670" w14:textId="77777777" w:rsidR="00676F85" w:rsidRDefault="00FB55F2">
    <w:pPr>
      <w:spacing w:after="0"/>
      <w:ind w:right="6"/>
      <w:jc w:val="right"/>
    </w:pPr>
    <w:r>
      <w:fldChar w:fldCharType="begin"/>
    </w:r>
    <w:r>
      <w:instrText xml:space="preserve"> PAGE   \* MERGEFORMAT </w:instrText>
    </w:r>
    <w:r>
      <w:fldChar w:fldCharType="separate"/>
    </w:r>
    <w:r>
      <w:rPr>
        <w:rFonts w:ascii="Times New Roman" w:eastAsia="Times New Roman" w:hAnsi="Times New Roman" w:cs="Times New Roman"/>
        <w:sz w:val="24"/>
      </w:rPr>
      <w:t>2</w: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w:t>
    </w:r>
  </w:p>
  <w:p w14:paraId="3AEAFBE3" w14:textId="77777777" w:rsidR="00676F85" w:rsidRDefault="00FB55F2">
    <w:pPr>
      <w:spacing w:after="0"/>
      <w:ind w:left="5"/>
    </w:pPr>
    <w:r>
      <w:rPr>
        <w:rFonts w:ascii="Times New Roman" w:eastAsia="Times New Roman" w:hAnsi="Times New Roman" w:cs="Times New Roman"/>
        <w:sz w:val="24"/>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D7D55" w14:textId="77777777" w:rsidR="00676F85" w:rsidRDefault="00FB55F2">
    <w:pPr>
      <w:spacing w:after="0"/>
      <w:ind w:right="6"/>
      <w:jc w:val="right"/>
    </w:pPr>
    <w:r>
      <w:fldChar w:fldCharType="begin"/>
    </w:r>
    <w:r>
      <w:instrText xml:space="preserve"> PAGE   \* MERGEFORMAT </w:instrText>
    </w:r>
    <w:r>
      <w:fldChar w:fldCharType="separate"/>
    </w:r>
    <w:r>
      <w:rPr>
        <w:rFonts w:ascii="Times New Roman" w:eastAsia="Times New Roman" w:hAnsi="Times New Roman" w:cs="Times New Roman"/>
        <w:sz w:val="24"/>
      </w:rPr>
      <w:t>2</w: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w:t>
    </w:r>
  </w:p>
  <w:p w14:paraId="04AE2317" w14:textId="77777777" w:rsidR="00676F85" w:rsidRDefault="00FB55F2">
    <w:pPr>
      <w:spacing w:after="0"/>
      <w:ind w:left="5"/>
    </w:pPr>
    <w:r>
      <w:rPr>
        <w:rFonts w:ascii="Times New Roman" w:eastAsia="Times New Roman" w:hAnsi="Times New Roman" w:cs="Times New Roman"/>
        <w:sz w:val="24"/>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8D71E4" w14:textId="77777777" w:rsidR="00076D49" w:rsidRDefault="00076D49">
      <w:pPr>
        <w:spacing w:after="0" w:line="291" w:lineRule="auto"/>
        <w:ind w:left="5"/>
        <w:jc w:val="both"/>
      </w:pPr>
      <w:r>
        <w:separator/>
      </w:r>
    </w:p>
  </w:footnote>
  <w:footnote w:type="continuationSeparator" w:id="0">
    <w:p w14:paraId="0594F909" w14:textId="77777777" w:rsidR="00076D49" w:rsidRDefault="00076D49">
      <w:pPr>
        <w:spacing w:after="0" w:line="291" w:lineRule="auto"/>
        <w:ind w:left="5"/>
        <w:jc w:val="both"/>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91992"/>
    <w:multiLevelType w:val="hybridMultilevel"/>
    <w:tmpl w:val="33E8D8FC"/>
    <w:lvl w:ilvl="0" w:tplc="F6A6EA30">
      <w:start w:val="1"/>
      <w:numFmt w:val="bullet"/>
      <w:lvlText w:val="-"/>
      <w:lvlJc w:val="left"/>
      <w:pPr>
        <w:ind w:left="7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EF5E921A">
      <w:start w:val="1"/>
      <w:numFmt w:val="bullet"/>
      <w:lvlText w:val="o"/>
      <w:lvlJc w:val="left"/>
      <w:pPr>
        <w:ind w:left="14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83E2DBD2">
      <w:start w:val="1"/>
      <w:numFmt w:val="bullet"/>
      <w:lvlText w:val="▪"/>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BA1AFF20">
      <w:start w:val="1"/>
      <w:numFmt w:val="bullet"/>
      <w:lvlText w:val="•"/>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3B721126">
      <w:start w:val="1"/>
      <w:numFmt w:val="bullet"/>
      <w:lvlText w:val="o"/>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1F72A694">
      <w:start w:val="1"/>
      <w:numFmt w:val="bullet"/>
      <w:lvlText w:val="▪"/>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F1724162">
      <w:start w:val="1"/>
      <w:numFmt w:val="bullet"/>
      <w:lvlText w:val="•"/>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CDCC8562">
      <w:start w:val="1"/>
      <w:numFmt w:val="bullet"/>
      <w:lvlText w:val="o"/>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9B5E0994">
      <w:start w:val="1"/>
      <w:numFmt w:val="bullet"/>
      <w:lvlText w:val="▪"/>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2EA124B7"/>
    <w:multiLevelType w:val="hybridMultilevel"/>
    <w:tmpl w:val="935EE4DC"/>
    <w:lvl w:ilvl="0" w:tplc="04100001">
      <w:start w:val="1"/>
      <w:numFmt w:val="bullet"/>
      <w:lvlText w:val=""/>
      <w:lvlJc w:val="left"/>
      <w:pPr>
        <w:ind w:left="710" w:hanging="360"/>
      </w:pPr>
      <w:rPr>
        <w:rFonts w:ascii="Symbol" w:hAnsi="Symbol" w:hint="default"/>
      </w:rPr>
    </w:lvl>
    <w:lvl w:ilvl="1" w:tplc="04100003" w:tentative="1">
      <w:start w:val="1"/>
      <w:numFmt w:val="bullet"/>
      <w:lvlText w:val="o"/>
      <w:lvlJc w:val="left"/>
      <w:pPr>
        <w:ind w:left="1430" w:hanging="360"/>
      </w:pPr>
      <w:rPr>
        <w:rFonts w:ascii="Courier New" w:hAnsi="Courier New" w:cs="Courier New" w:hint="default"/>
      </w:rPr>
    </w:lvl>
    <w:lvl w:ilvl="2" w:tplc="04100005" w:tentative="1">
      <w:start w:val="1"/>
      <w:numFmt w:val="bullet"/>
      <w:lvlText w:val=""/>
      <w:lvlJc w:val="left"/>
      <w:pPr>
        <w:ind w:left="2150" w:hanging="360"/>
      </w:pPr>
      <w:rPr>
        <w:rFonts w:ascii="Wingdings" w:hAnsi="Wingdings" w:hint="default"/>
      </w:rPr>
    </w:lvl>
    <w:lvl w:ilvl="3" w:tplc="04100001" w:tentative="1">
      <w:start w:val="1"/>
      <w:numFmt w:val="bullet"/>
      <w:lvlText w:val=""/>
      <w:lvlJc w:val="left"/>
      <w:pPr>
        <w:ind w:left="2870" w:hanging="360"/>
      </w:pPr>
      <w:rPr>
        <w:rFonts w:ascii="Symbol" w:hAnsi="Symbol" w:hint="default"/>
      </w:rPr>
    </w:lvl>
    <w:lvl w:ilvl="4" w:tplc="04100003" w:tentative="1">
      <w:start w:val="1"/>
      <w:numFmt w:val="bullet"/>
      <w:lvlText w:val="o"/>
      <w:lvlJc w:val="left"/>
      <w:pPr>
        <w:ind w:left="3590" w:hanging="360"/>
      </w:pPr>
      <w:rPr>
        <w:rFonts w:ascii="Courier New" w:hAnsi="Courier New" w:cs="Courier New" w:hint="default"/>
      </w:rPr>
    </w:lvl>
    <w:lvl w:ilvl="5" w:tplc="04100005" w:tentative="1">
      <w:start w:val="1"/>
      <w:numFmt w:val="bullet"/>
      <w:lvlText w:val=""/>
      <w:lvlJc w:val="left"/>
      <w:pPr>
        <w:ind w:left="4310" w:hanging="360"/>
      </w:pPr>
      <w:rPr>
        <w:rFonts w:ascii="Wingdings" w:hAnsi="Wingdings" w:hint="default"/>
      </w:rPr>
    </w:lvl>
    <w:lvl w:ilvl="6" w:tplc="04100001" w:tentative="1">
      <w:start w:val="1"/>
      <w:numFmt w:val="bullet"/>
      <w:lvlText w:val=""/>
      <w:lvlJc w:val="left"/>
      <w:pPr>
        <w:ind w:left="5030" w:hanging="360"/>
      </w:pPr>
      <w:rPr>
        <w:rFonts w:ascii="Symbol" w:hAnsi="Symbol" w:hint="default"/>
      </w:rPr>
    </w:lvl>
    <w:lvl w:ilvl="7" w:tplc="04100003" w:tentative="1">
      <w:start w:val="1"/>
      <w:numFmt w:val="bullet"/>
      <w:lvlText w:val="o"/>
      <w:lvlJc w:val="left"/>
      <w:pPr>
        <w:ind w:left="5750" w:hanging="360"/>
      </w:pPr>
      <w:rPr>
        <w:rFonts w:ascii="Courier New" w:hAnsi="Courier New" w:cs="Courier New" w:hint="default"/>
      </w:rPr>
    </w:lvl>
    <w:lvl w:ilvl="8" w:tplc="04100005" w:tentative="1">
      <w:start w:val="1"/>
      <w:numFmt w:val="bullet"/>
      <w:lvlText w:val=""/>
      <w:lvlJc w:val="left"/>
      <w:pPr>
        <w:ind w:left="6470" w:hanging="360"/>
      </w:pPr>
      <w:rPr>
        <w:rFonts w:ascii="Wingdings" w:hAnsi="Wingdings" w:hint="default"/>
      </w:rPr>
    </w:lvl>
  </w:abstractNum>
  <w:abstractNum w:abstractNumId="2" w15:restartNumberingAfterBreak="0">
    <w:nsid w:val="53970CC0"/>
    <w:multiLevelType w:val="hybridMultilevel"/>
    <w:tmpl w:val="CAF252A0"/>
    <w:lvl w:ilvl="0" w:tplc="04100001">
      <w:start w:val="1"/>
      <w:numFmt w:val="bullet"/>
      <w:lvlText w:val=""/>
      <w:lvlJc w:val="left"/>
      <w:pPr>
        <w:ind w:left="710" w:hanging="360"/>
      </w:pPr>
      <w:rPr>
        <w:rFonts w:ascii="Symbol" w:hAnsi="Symbol" w:hint="default"/>
      </w:rPr>
    </w:lvl>
    <w:lvl w:ilvl="1" w:tplc="04100003" w:tentative="1">
      <w:start w:val="1"/>
      <w:numFmt w:val="bullet"/>
      <w:lvlText w:val="o"/>
      <w:lvlJc w:val="left"/>
      <w:pPr>
        <w:ind w:left="1430" w:hanging="360"/>
      </w:pPr>
      <w:rPr>
        <w:rFonts w:ascii="Courier New" w:hAnsi="Courier New" w:cs="Courier New" w:hint="default"/>
      </w:rPr>
    </w:lvl>
    <w:lvl w:ilvl="2" w:tplc="04100005" w:tentative="1">
      <w:start w:val="1"/>
      <w:numFmt w:val="bullet"/>
      <w:lvlText w:val=""/>
      <w:lvlJc w:val="left"/>
      <w:pPr>
        <w:ind w:left="2150" w:hanging="360"/>
      </w:pPr>
      <w:rPr>
        <w:rFonts w:ascii="Wingdings" w:hAnsi="Wingdings" w:hint="default"/>
      </w:rPr>
    </w:lvl>
    <w:lvl w:ilvl="3" w:tplc="04100001" w:tentative="1">
      <w:start w:val="1"/>
      <w:numFmt w:val="bullet"/>
      <w:lvlText w:val=""/>
      <w:lvlJc w:val="left"/>
      <w:pPr>
        <w:ind w:left="2870" w:hanging="360"/>
      </w:pPr>
      <w:rPr>
        <w:rFonts w:ascii="Symbol" w:hAnsi="Symbol" w:hint="default"/>
      </w:rPr>
    </w:lvl>
    <w:lvl w:ilvl="4" w:tplc="04100003" w:tentative="1">
      <w:start w:val="1"/>
      <w:numFmt w:val="bullet"/>
      <w:lvlText w:val="o"/>
      <w:lvlJc w:val="left"/>
      <w:pPr>
        <w:ind w:left="3590" w:hanging="360"/>
      </w:pPr>
      <w:rPr>
        <w:rFonts w:ascii="Courier New" w:hAnsi="Courier New" w:cs="Courier New" w:hint="default"/>
      </w:rPr>
    </w:lvl>
    <w:lvl w:ilvl="5" w:tplc="04100005" w:tentative="1">
      <w:start w:val="1"/>
      <w:numFmt w:val="bullet"/>
      <w:lvlText w:val=""/>
      <w:lvlJc w:val="left"/>
      <w:pPr>
        <w:ind w:left="4310" w:hanging="360"/>
      </w:pPr>
      <w:rPr>
        <w:rFonts w:ascii="Wingdings" w:hAnsi="Wingdings" w:hint="default"/>
      </w:rPr>
    </w:lvl>
    <w:lvl w:ilvl="6" w:tplc="04100001" w:tentative="1">
      <w:start w:val="1"/>
      <w:numFmt w:val="bullet"/>
      <w:lvlText w:val=""/>
      <w:lvlJc w:val="left"/>
      <w:pPr>
        <w:ind w:left="5030" w:hanging="360"/>
      </w:pPr>
      <w:rPr>
        <w:rFonts w:ascii="Symbol" w:hAnsi="Symbol" w:hint="default"/>
      </w:rPr>
    </w:lvl>
    <w:lvl w:ilvl="7" w:tplc="04100003" w:tentative="1">
      <w:start w:val="1"/>
      <w:numFmt w:val="bullet"/>
      <w:lvlText w:val="o"/>
      <w:lvlJc w:val="left"/>
      <w:pPr>
        <w:ind w:left="5750" w:hanging="360"/>
      </w:pPr>
      <w:rPr>
        <w:rFonts w:ascii="Courier New" w:hAnsi="Courier New" w:cs="Courier New" w:hint="default"/>
      </w:rPr>
    </w:lvl>
    <w:lvl w:ilvl="8" w:tplc="04100005" w:tentative="1">
      <w:start w:val="1"/>
      <w:numFmt w:val="bullet"/>
      <w:lvlText w:val=""/>
      <w:lvlJc w:val="left"/>
      <w:pPr>
        <w:ind w:left="6470" w:hanging="360"/>
      </w:pPr>
      <w:rPr>
        <w:rFonts w:ascii="Wingdings" w:hAnsi="Wingdings" w:hint="default"/>
      </w:rPr>
    </w:lvl>
  </w:abstractNum>
  <w:abstractNum w:abstractNumId="3" w15:restartNumberingAfterBreak="0">
    <w:nsid w:val="76E345FE"/>
    <w:multiLevelType w:val="hybridMultilevel"/>
    <w:tmpl w:val="0EE48ADA"/>
    <w:lvl w:ilvl="0" w:tplc="04100001">
      <w:start w:val="1"/>
      <w:numFmt w:val="bullet"/>
      <w:lvlText w:val=""/>
      <w:lvlJc w:val="left"/>
      <w:pPr>
        <w:ind w:left="720" w:hanging="360"/>
      </w:pPr>
      <w:rPr>
        <w:rFonts w:ascii="Symbol" w:hAnsi="Symbol"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8273FF5"/>
    <w:multiLevelType w:val="hybridMultilevel"/>
    <w:tmpl w:val="A2CAB942"/>
    <w:lvl w:ilvl="0" w:tplc="8A5425C2">
      <w:start w:val="1"/>
      <w:numFmt w:val="bullet"/>
      <w:lvlText w:val="•"/>
      <w:lvlJc w:val="left"/>
      <w:pPr>
        <w:ind w:left="7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D462C6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8B1EA1DA">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C7201CC">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57ACF9E">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134B08C">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E589CF2">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6085BDC">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32A2AEC">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16cid:durableId="1653173563">
    <w:abstractNumId w:val="0"/>
  </w:num>
  <w:num w:numId="2" w16cid:durableId="1725133771">
    <w:abstractNumId w:val="4"/>
  </w:num>
  <w:num w:numId="3" w16cid:durableId="517695282">
    <w:abstractNumId w:val="1"/>
  </w:num>
  <w:num w:numId="4" w16cid:durableId="250312197">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57679518">
    <w:abstractNumId w:val="3"/>
  </w:num>
  <w:num w:numId="6" w16cid:durableId="1285311154">
    <w:abstractNumId w:val="2"/>
  </w:num>
  <w:num w:numId="7" w16cid:durableId="1810928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54"/>
  <w:removePersonalInformation/>
  <w:removeDateAndTime/>
  <w:defaultTabStop w:val="708"/>
  <w:hyphenationZone w:val="283"/>
  <w:characterSpacingControl w:val="doNotCompress"/>
  <w:hdrShapeDefaults>
    <o:shapedefaults v:ext="edit" spidmax="2050"/>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6F85"/>
    <w:rsid w:val="00037E9C"/>
    <w:rsid w:val="00054BA7"/>
    <w:rsid w:val="00070AC8"/>
    <w:rsid w:val="00070EFD"/>
    <w:rsid w:val="00076D49"/>
    <w:rsid w:val="000842E4"/>
    <w:rsid w:val="00096108"/>
    <w:rsid w:val="000A2E24"/>
    <w:rsid w:val="000B566F"/>
    <w:rsid w:val="000C6753"/>
    <w:rsid w:val="000F2CC5"/>
    <w:rsid w:val="000F4394"/>
    <w:rsid w:val="0011278F"/>
    <w:rsid w:val="00145808"/>
    <w:rsid w:val="001552FF"/>
    <w:rsid w:val="00156F70"/>
    <w:rsid w:val="00161624"/>
    <w:rsid w:val="0017066B"/>
    <w:rsid w:val="0018624D"/>
    <w:rsid w:val="00186EB0"/>
    <w:rsid w:val="00187EC0"/>
    <w:rsid w:val="00192776"/>
    <w:rsid w:val="00196C8A"/>
    <w:rsid w:val="001B71A9"/>
    <w:rsid w:val="001C11CB"/>
    <w:rsid w:val="001E105C"/>
    <w:rsid w:val="001E24E5"/>
    <w:rsid w:val="00211AE9"/>
    <w:rsid w:val="00217720"/>
    <w:rsid w:val="002361E0"/>
    <w:rsid w:val="00253D4A"/>
    <w:rsid w:val="0025702A"/>
    <w:rsid w:val="00272A1D"/>
    <w:rsid w:val="002852A6"/>
    <w:rsid w:val="00297989"/>
    <w:rsid w:val="002A63EB"/>
    <w:rsid w:val="002D22BF"/>
    <w:rsid w:val="00317427"/>
    <w:rsid w:val="00362B06"/>
    <w:rsid w:val="00392A74"/>
    <w:rsid w:val="00393A8F"/>
    <w:rsid w:val="003A12D2"/>
    <w:rsid w:val="004128B0"/>
    <w:rsid w:val="00432A5A"/>
    <w:rsid w:val="00460E2E"/>
    <w:rsid w:val="00466F3F"/>
    <w:rsid w:val="00491F12"/>
    <w:rsid w:val="00497710"/>
    <w:rsid w:val="004A03B5"/>
    <w:rsid w:val="004A40A4"/>
    <w:rsid w:val="004B18FB"/>
    <w:rsid w:val="004B7167"/>
    <w:rsid w:val="004C4D24"/>
    <w:rsid w:val="004E0FA0"/>
    <w:rsid w:val="004F39FC"/>
    <w:rsid w:val="0051225E"/>
    <w:rsid w:val="00512521"/>
    <w:rsid w:val="005159B1"/>
    <w:rsid w:val="00533202"/>
    <w:rsid w:val="00545F72"/>
    <w:rsid w:val="00546ACA"/>
    <w:rsid w:val="00553082"/>
    <w:rsid w:val="00560C07"/>
    <w:rsid w:val="0056661A"/>
    <w:rsid w:val="00570A56"/>
    <w:rsid w:val="005818AD"/>
    <w:rsid w:val="0059368E"/>
    <w:rsid w:val="005B04F8"/>
    <w:rsid w:val="005B0623"/>
    <w:rsid w:val="005D07CC"/>
    <w:rsid w:val="005D3888"/>
    <w:rsid w:val="005E0F7A"/>
    <w:rsid w:val="00613E62"/>
    <w:rsid w:val="006175BE"/>
    <w:rsid w:val="006567DC"/>
    <w:rsid w:val="00676F85"/>
    <w:rsid w:val="00696935"/>
    <w:rsid w:val="006A75F8"/>
    <w:rsid w:val="006B5185"/>
    <w:rsid w:val="006C3516"/>
    <w:rsid w:val="006D0BED"/>
    <w:rsid w:val="006F1770"/>
    <w:rsid w:val="006F6077"/>
    <w:rsid w:val="007252A2"/>
    <w:rsid w:val="0075441D"/>
    <w:rsid w:val="00767F69"/>
    <w:rsid w:val="00781187"/>
    <w:rsid w:val="007C7DFA"/>
    <w:rsid w:val="007D2F7B"/>
    <w:rsid w:val="007E0B32"/>
    <w:rsid w:val="007F36F8"/>
    <w:rsid w:val="00812D81"/>
    <w:rsid w:val="00813813"/>
    <w:rsid w:val="00837F8D"/>
    <w:rsid w:val="008651E3"/>
    <w:rsid w:val="00877301"/>
    <w:rsid w:val="00890551"/>
    <w:rsid w:val="008A58A5"/>
    <w:rsid w:val="008B31D1"/>
    <w:rsid w:val="008D56AC"/>
    <w:rsid w:val="008E402B"/>
    <w:rsid w:val="00915284"/>
    <w:rsid w:val="00942789"/>
    <w:rsid w:val="00966FD5"/>
    <w:rsid w:val="00970595"/>
    <w:rsid w:val="00985401"/>
    <w:rsid w:val="00997182"/>
    <w:rsid w:val="009B1F2A"/>
    <w:rsid w:val="009B3BFD"/>
    <w:rsid w:val="009E7F49"/>
    <w:rsid w:val="00A03CCB"/>
    <w:rsid w:val="00A04678"/>
    <w:rsid w:val="00A064DD"/>
    <w:rsid w:val="00A07823"/>
    <w:rsid w:val="00A15DF2"/>
    <w:rsid w:val="00A229D9"/>
    <w:rsid w:val="00A320B6"/>
    <w:rsid w:val="00A574CC"/>
    <w:rsid w:val="00A57DCD"/>
    <w:rsid w:val="00A73B95"/>
    <w:rsid w:val="00A94193"/>
    <w:rsid w:val="00AC65AA"/>
    <w:rsid w:val="00AD02A8"/>
    <w:rsid w:val="00AD2C81"/>
    <w:rsid w:val="00B75DA6"/>
    <w:rsid w:val="00B75F13"/>
    <w:rsid w:val="00B976AD"/>
    <w:rsid w:val="00BA53AF"/>
    <w:rsid w:val="00BB324E"/>
    <w:rsid w:val="00BC16E9"/>
    <w:rsid w:val="00BD2BBB"/>
    <w:rsid w:val="00BD3E53"/>
    <w:rsid w:val="00BF74BF"/>
    <w:rsid w:val="00C00EFE"/>
    <w:rsid w:val="00C15357"/>
    <w:rsid w:val="00C2000B"/>
    <w:rsid w:val="00C24FEA"/>
    <w:rsid w:val="00C2631B"/>
    <w:rsid w:val="00C42922"/>
    <w:rsid w:val="00C522DC"/>
    <w:rsid w:val="00C73068"/>
    <w:rsid w:val="00C960E2"/>
    <w:rsid w:val="00CE1523"/>
    <w:rsid w:val="00CE2924"/>
    <w:rsid w:val="00CE3684"/>
    <w:rsid w:val="00CE5D81"/>
    <w:rsid w:val="00CF5562"/>
    <w:rsid w:val="00D04A84"/>
    <w:rsid w:val="00D0548B"/>
    <w:rsid w:val="00D42CCD"/>
    <w:rsid w:val="00D51065"/>
    <w:rsid w:val="00D56DDC"/>
    <w:rsid w:val="00D62A85"/>
    <w:rsid w:val="00D741A1"/>
    <w:rsid w:val="00DF598D"/>
    <w:rsid w:val="00E04320"/>
    <w:rsid w:val="00E1748A"/>
    <w:rsid w:val="00E41F66"/>
    <w:rsid w:val="00E47747"/>
    <w:rsid w:val="00E54B54"/>
    <w:rsid w:val="00E66F58"/>
    <w:rsid w:val="00E96BF8"/>
    <w:rsid w:val="00EC2DBF"/>
    <w:rsid w:val="00EC62EF"/>
    <w:rsid w:val="00ED0BAF"/>
    <w:rsid w:val="00F0048E"/>
    <w:rsid w:val="00F077A3"/>
    <w:rsid w:val="00F26E28"/>
    <w:rsid w:val="00F27F7B"/>
    <w:rsid w:val="00F5273F"/>
    <w:rsid w:val="00F566EC"/>
    <w:rsid w:val="00F63AC5"/>
    <w:rsid w:val="00F76384"/>
    <w:rsid w:val="00F817AF"/>
    <w:rsid w:val="00FA3D11"/>
    <w:rsid w:val="00FA6BB4"/>
    <w:rsid w:val="00FB4F9A"/>
    <w:rsid w:val="00FB55F2"/>
    <w:rsid w:val="00FB72F2"/>
    <w:rsid w:val="00FC1D1C"/>
    <w:rsid w:val="00FC5E86"/>
    <w:rsid w:val="00FD137E"/>
    <w:rsid w:val="00FD3B7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8B3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Calibri" w:eastAsia="Calibri" w:hAnsi="Calibri" w:cs="Calibri"/>
      <w:color w:val="000000"/>
    </w:rPr>
  </w:style>
  <w:style w:type="paragraph" w:styleId="Titolo1">
    <w:name w:val="heading 1"/>
    <w:next w:val="Normale"/>
    <w:link w:val="Titolo1Carattere"/>
    <w:uiPriority w:val="9"/>
    <w:qFormat/>
    <w:pPr>
      <w:keepNext/>
      <w:keepLines/>
      <w:spacing w:after="216"/>
      <w:ind w:left="10" w:right="4" w:hanging="10"/>
      <w:jc w:val="center"/>
      <w:outlineLvl w:val="0"/>
    </w:pPr>
    <w:rPr>
      <w:rFonts w:ascii="Verdana" w:eastAsia="Verdana" w:hAnsi="Verdana" w:cs="Verdana"/>
      <w:b/>
      <w:color w:val="000000"/>
      <w:sz w:val="24"/>
    </w:rPr>
  </w:style>
  <w:style w:type="paragraph" w:styleId="Titolo2">
    <w:name w:val="heading 2"/>
    <w:next w:val="Normale"/>
    <w:link w:val="Titolo2Carattere"/>
    <w:uiPriority w:val="9"/>
    <w:unhideWhenUsed/>
    <w:qFormat/>
    <w:pPr>
      <w:keepNext/>
      <w:keepLines/>
      <w:spacing w:after="255"/>
      <w:ind w:left="365" w:hanging="10"/>
      <w:jc w:val="center"/>
      <w:outlineLvl w:val="1"/>
    </w:pPr>
    <w:rPr>
      <w:rFonts w:ascii="Verdana" w:eastAsia="Verdana" w:hAnsi="Verdana" w:cs="Verdana"/>
      <w:b/>
      <w:i/>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link w:val="Titolo2"/>
    <w:rPr>
      <w:rFonts w:ascii="Verdana" w:eastAsia="Verdana" w:hAnsi="Verdana" w:cs="Verdana"/>
      <w:b/>
      <w:i/>
      <w:color w:val="000000"/>
      <w:sz w:val="22"/>
    </w:rPr>
  </w:style>
  <w:style w:type="character" w:customStyle="1" w:styleId="Titolo1Carattere">
    <w:name w:val="Titolo 1 Carattere"/>
    <w:link w:val="Titolo1"/>
    <w:rPr>
      <w:rFonts w:ascii="Verdana" w:eastAsia="Verdana" w:hAnsi="Verdana" w:cs="Verdana"/>
      <w:b/>
      <w:color w:val="000000"/>
      <w:sz w:val="24"/>
    </w:rPr>
  </w:style>
  <w:style w:type="paragraph" w:customStyle="1" w:styleId="footnotedescription">
    <w:name w:val="footnote description"/>
    <w:next w:val="Normale"/>
    <w:link w:val="footnotedescriptionChar"/>
    <w:hidden/>
    <w:pPr>
      <w:spacing w:after="0" w:line="291" w:lineRule="auto"/>
      <w:ind w:left="5"/>
      <w:jc w:val="both"/>
    </w:pPr>
    <w:rPr>
      <w:rFonts w:ascii="Verdana" w:eastAsia="Verdana" w:hAnsi="Verdana" w:cs="Verdana"/>
      <w:color w:val="000000"/>
      <w:sz w:val="16"/>
    </w:rPr>
  </w:style>
  <w:style w:type="character" w:customStyle="1" w:styleId="footnotedescriptionChar">
    <w:name w:val="footnote description Char"/>
    <w:link w:val="footnotedescription"/>
    <w:rPr>
      <w:rFonts w:ascii="Verdana" w:eastAsia="Verdana" w:hAnsi="Verdana" w:cs="Verdana"/>
      <w:color w:val="000000"/>
      <w:sz w:val="16"/>
    </w:rPr>
  </w:style>
  <w:style w:type="character" w:customStyle="1" w:styleId="footnotemark">
    <w:name w:val="footnote mark"/>
    <w:hidden/>
    <w:rPr>
      <w:rFonts w:ascii="Times New Roman" w:eastAsia="Times New Roman" w:hAnsi="Times New Roman" w:cs="Times New Roman"/>
      <w:color w:val="00000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aragrafoelenco">
    <w:name w:val="List Paragraph"/>
    <w:basedOn w:val="Normale"/>
    <w:uiPriority w:val="34"/>
    <w:qFormat/>
    <w:rsid w:val="006D0BED"/>
    <w:pPr>
      <w:ind w:left="720"/>
      <w:contextualSpacing/>
    </w:pPr>
  </w:style>
  <w:style w:type="paragraph" w:styleId="Testonotaapidipagina">
    <w:name w:val="footnote text"/>
    <w:basedOn w:val="Normale"/>
    <w:link w:val="TestonotaapidipaginaCarattere"/>
    <w:uiPriority w:val="99"/>
    <w:semiHidden/>
    <w:unhideWhenUsed/>
    <w:rsid w:val="001552FF"/>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1552FF"/>
    <w:rPr>
      <w:rFonts w:ascii="Calibri" w:eastAsia="Calibri" w:hAnsi="Calibri" w:cs="Calibri"/>
      <w:color w:val="000000"/>
      <w:sz w:val="20"/>
      <w:szCs w:val="20"/>
    </w:rPr>
  </w:style>
  <w:style w:type="character" w:styleId="Rimandonotaapidipagina">
    <w:name w:val="footnote reference"/>
    <w:basedOn w:val="Carpredefinitoparagrafo"/>
    <w:uiPriority w:val="99"/>
    <w:semiHidden/>
    <w:unhideWhenUsed/>
    <w:rsid w:val="001552FF"/>
    <w:rPr>
      <w:vertAlign w:val="superscript"/>
    </w:rPr>
  </w:style>
  <w:style w:type="paragraph" w:styleId="Testonotadichiusura">
    <w:name w:val="endnote text"/>
    <w:basedOn w:val="Normale"/>
    <w:link w:val="TestonotadichiusuraCarattere"/>
    <w:uiPriority w:val="99"/>
    <w:semiHidden/>
    <w:unhideWhenUsed/>
    <w:rsid w:val="001552FF"/>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1552FF"/>
    <w:rPr>
      <w:rFonts w:ascii="Calibri" w:eastAsia="Calibri" w:hAnsi="Calibri" w:cs="Calibri"/>
      <w:color w:val="000000"/>
      <w:sz w:val="20"/>
      <w:szCs w:val="20"/>
    </w:rPr>
  </w:style>
  <w:style w:type="character" w:styleId="Rimandonotadichiusura">
    <w:name w:val="endnote reference"/>
    <w:basedOn w:val="Carpredefinitoparagrafo"/>
    <w:uiPriority w:val="99"/>
    <w:semiHidden/>
    <w:unhideWhenUsed/>
    <w:rsid w:val="001552FF"/>
    <w:rPr>
      <w:vertAlign w:val="superscript"/>
    </w:rPr>
  </w:style>
  <w:style w:type="character" w:styleId="Rimandocommento">
    <w:name w:val="annotation reference"/>
    <w:basedOn w:val="Carpredefinitoparagrafo"/>
    <w:uiPriority w:val="99"/>
    <w:semiHidden/>
    <w:unhideWhenUsed/>
    <w:rsid w:val="00DF598D"/>
    <w:rPr>
      <w:sz w:val="16"/>
      <w:szCs w:val="16"/>
    </w:rPr>
  </w:style>
  <w:style w:type="paragraph" w:styleId="Testocommento">
    <w:name w:val="annotation text"/>
    <w:basedOn w:val="Normale"/>
    <w:link w:val="TestocommentoCarattere"/>
    <w:uiPriority w:val="99"/>
    <w:unhideWhenUsed/>
    <w:rsid w:val="00DF598D"/>
    <w:pPr>
      <w:spacing w:line="240" w:lineRule="auto"/>
    </w:pPr>
    <w:rPr>
      <w:sz w:val="20"/>
      <w:szCs w:val="20"/>
    </w:rPr>
  </w:style>
  <w:style w:type="character" w:customStyle="1" w:styleId="TestocommentoCarattere">
    <w:name w:val="Testo commento Carattere"/>
    <w:basedOn w:val="Carpredefinitoparagrafo"/>
    <w:link w:val="Testocommento"/>
    <w:uiPriority w:val="99"/>
    <w:rsid w:val="00DF598D"/>
    <w:rPr>
      <w:rFonts w:ascii="Calibri" w:eastAsia="Calibri" w:hAnsi="Calibri" w:cs="Calibri"/>
      <w:color w:val="000000"/>
      <w:sz w:val="20"/>
      <w:szCs w:val="20"/>
    </w:rPr>
  </w:style>
  <w:style w:type="paragraph" w:styleId="Soggettocommento">
    <w:name w:val="annotation subject"/>
    <w:basedOn w:val="Testocommento"/>
    <w:next w:val="Testocommento"/>
    <w:link w:val="SoggettocommentoCarattere"/>
    <w:uiPriority w:val="99"/>
    <w:semiHidden/>
    <w:unhideWhenUsed/>
    <w:rsid w:val="00DF598D"/>
    <w:rPr>
      <w:b/>
      <w:bCs/>
    </w:rPr>
  </w:style>
  <w:style w:type="character" w:customStyle="1" w:styleId="SoggettocommentoCarattere">
    <w:name w:val="Soggetto commento Carattere"/>
    <w:basedOn w:val="TestocommentoCarattere"/>
    <w:link w:val="Soggettocommento"/>
    <w:uiPriority w:val="99"/>
    <w:semiHidden/>
    <w:rsid w:val="00DF598D"/>
    <w:rPr>
      <w:rFonts w:ascii="Calibri" w:eastAsia="Calibri" w:hAnsi="Calibri" w:cs="Calibri"/>
      <w:b/>
      <w:bCs/>
      <w:color w:val="000000"/>
      <w:sz w:val="20"/>
      <w:szCs w:val="20"/>
    </w:rPr>
  </w:style>
  <w:style w:type="paragraph" w:styleId="Revisione">
    <w:name w:val="Revision"/>
    <w:hidden/>
    <w:uiPriority w:val="99"/>
    <w:semiHidden/>
    <w:rsid w:val="00BA53AF"/>
    <w:pPr>
      <w:spacing w:after="0" w:line="240" w:lineRule="auto"/>
    </w:pPr>
    <w:rPr>
      <w:rFonts w:ascii="Calibri" w:eastAsia="Calibri" w:hAnsi="Calibri" w:cs="Calibri"/>
      <w:color w:val="000000"/>
    </w:rPr>
  </w:style>
  <w:style w:type="paragraph" w:styleId="Intestazione">
    <w:name w:val="header"/>
    <w:basedOn w:val="Normale"/>
    <w:link w:val="IntestazioneCarattere"/>
    <w:uiPriority w:val="99"/>
    <w:unhideWhenUsed/>
    <w:rsid w:val="001C11C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C11CB"/>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3012361">
      <w:bodyDiv w:val="1"/>
      <w:marLeft w:val="0"/>
      <w:marRight w:val="0"/>
      <w:marTop w:val="0"/>
      <w:marBottom w:val="0"/>
      <w:divBdr>
        <w:top w:val="none" w:sz="0" w:space="0" w:color="auto"/>
        <w:left w:val="none" w:sz="0" w:space="0" w:color="auto"/>
        <w:bottom w:val="none" w:sz="0" w:space="0" w:color="auto"/>
        <w:right w:val="none" w:sz="0" w:space="0" w:color="auto"/>
      </w:divBdr>
    </w:div>
    <w:div w:id="482505561">
      <w:bodyDiv w:val="1"/>
      <w:marLeft w:val="0"/>
      <w:marRight w:val="0"/>
      <w:marTop w:val="0"/>
      <w:marBottom w:val="0"/>
      <w:divBdr>
        <w:top w:val="none" w:sz="0" w:space="0" w:color="auto"/>
        <w:left w:val="none" w:sz="0" w:space="0" w:color="auto"/>
        <w:bottom w:val="none" w:sz="0" w:space="0" w:color="auto"/>
        <w:right w:val="none" w:sz="0" w:space="0" w:color="auto"/>
      </w:divBdr>
    </w:div>
    <w:div w:id="808942979">
      <w:bodyDiv w:val="1"/>
      <w:marLeft w:val="0"/>
      <w:marRight w:val="0"/>
      <w:marTop w:val="0"/>
      <w:marBottom w:val="0"/>
      <w:divBdr>
        <w:top w:val="none" w:sz="0" w:space="0" w:color="auto"/>
        <w:left w:val="none" w:sz="0" w:space="0" w:color="auto"/>
        <w:bottom w:val="none" w:sz="0" w:space="0" w:color="auto"/>
        <w:right w:val="none" w:sz="0" w:space="0" w:color="auto"/>
      </w:divBdr>
    </w:div>
    <w:div w:id="1707751485">
      <w:bodyDiv w:val="1"/>
      <w:marLeft w:val="0"/>
      <w:marRight w:val="0"/>
      <w:marTop w:val="0"/>
      <w:marBottom w:val="0"/>
      <w:divBdr>
        <w:top w:val="none" w:sz="0" w:space="0" w:color="auto"/>
        <w:left w:val="none" w:sz="0" w:space="0" w:color="auto"/>
        <w:bottom w:val="none" w:sz="0" w:space="0" w:color="auto"/>
        <w:right w:val="none" w:sz="0" w:space="0" w:color="auto"/>
      </w:divBdr>
    </w:div>
    <w:div w:id="1960333729">
      <w:bodyDiv w:val="1"/>
      <w:marLeft w:val="0"/>
      <w:marRight w:val="0"/>
      <w:marTop w:val="0"/>
      <w:marBottom w:val="0"/>
      <w:divBdr>
        <w:top w:val="none" w:sz="0" w:space="0" w:color="auto"/>
        <w:left w:val="none" w:sz="0" w:space="0" w:color="auto"/>
        <w:bottom w:val="none" w:sz="0" w:space="0" w:color="auto"/>
        <w:right w:val="none" w:sz="0" w:space="0" w:color="auto"/>
      </w:divBdr>
    </w:div>
    <w:div w:id="20968952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41A1B9-D6C6-4333-8847-6725340886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1712</Words>
  <Characters>9760</Characters>
  <Application>Microsoft Office Word</Application>
  <DocSecurity>0</DocSecurity>
  <Lines>81</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2025-07-18T11:43:00Z</dcterms:created>
  <dcterms:modified xsi:type="dcterms:W3CDTF">2025-07-18T11:43:00Z</dcterms:modified>
</cp:coreProperties>
</file>